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rPr>
        <w:t>SNHD-2023-0</w:t>
      </w:r>
      <w:r>
        <w:rPr>
          <w:rFonts w:hint="eastAsia" w:ascii="黑体" w:hAnsi="黑体" w:eastAsia="黑体" w:cs="黑体"/>
          <w:sz w:val="32"/>
          <w:szCs w:val="32"/>
          <w:lang w:val="en-US" w:eastAsia="zh-CN"/>
        </w:rPr>
        <w:t>4</w:t>
      </w:r>
    </w:p>
    <w:p>
      <w:pPr>
        <w:jc w:val="center"/>
        <w:rPr>
          <w:rFonts w:ascii="黑体" w:hAnsi="黑体" w:eastAsia="黑体" w:cs="黑体"/>
          <w:sz w:val="32"/>
          <w:szCs w:val="32"/>
        </w:rPr>
      </w:pPr>
      <w:bookmarkStart w:id="0" w:name="_GoBack"/>
      <w:bookmarkEnd w:id="0"/>
      <w:r>
        <w:rPr>
          <w:rFonts w:hint="eastAsia" w:ascii="黑体" w:hAnsi="黑体" w:eastAsia="黑体" w:cs="黑体"/>
          <w:sz w:val="32"/>
          <w:szCs w:val="32"/>
        </w:rPr>
        <w:t>遂宁市机动车发动机</w:t>
      </w:r>
      <w:r>
        <w:rPr>
          <w:rFonts w:hint="eastAsia" w:ascii="黑体" w:eastAsia="黑体"/>
          <w:sz w:val="32"/>
        </w:rPr>
        <w:t>润滑油</w:t>
      </w:r>
      <w:r>
        <w:rPr>
          <w:rFonts w:hint="eastAsia" w:ascii="黑体" w:hAnsi="黑体" w:eastAsia="黑体" w:cs="黑体"/>
          <w:sz w:val="32"/>
          <w:szCs w:val="32"/>
        </w:rPr>
        <w:t>产品质量监督抽查实施细则</w:t>
      </w:r>
    </w:p>
    <w:p>
      <w:pPr>
        <w:spacing w:before="312" w:beforeLines="100" w:after="312" w:afterLines="100"/>
        <w:rPr>
          <w:rFonts w:ascii="黑体" w:hAnsi="黑体" w:eastAsia="黑体" w:cs="黑体"/>
        </w:rPr>
      </w:pPr>
      <w:r>
        <w:rPr>
          <w:rFonts w:hint="eastAsia" w:ascii="黑体" w:hAnsi="黑体" w:eastAsia="黑体" w:cs="黑体"/>
        </w:rPr>
        <w:t>1  抽样方法</w:t>
      </w:r>
    </w:p>
    <w:p>
      <w:pPr>
        <w:pStyle w:val="8"/>
        <w:rPr>
          <w:rFonts w:ascii="宋体" w:hAnsi="宋体" w:cs="宋体"/>
        </w:rPr>
      </w:pPr>
      <w:r>
        <w:rPr>
          <w:rFonts w:hint="eastAsia" w:ascii="宋体" w:hAnsi="宋体" w:cs="宋体"/>
        </w:rPr>
        <w:t>以随机抽样的方式在被抽样生产者、销售者的待销产品中抽取。</w:t>
      </w:r>
    </w:p>
    <w:p>
      <w:pPr>
        <w:pStyle w:val="8"/>
        <w:tabs>
          <w:tab w:val="left" w:pos="7650"/>
        </w:tabs>
        <w:rPr>
          <w:rFonts w:ascii="宋体" w:hAnsi="宋体" w:cs="宋体"/>
        </w:rPr>
      </w:pPr>
      <w:r>
        <w:rPr>
          <w:rFonts w:hint="eastAsia" w:ascii="宋体" w:hAnsi="宋体" w:cs="宋体"/>
        </w:rPr>
        <w:t>随机数一般可使用随机数表、骰子或扑克牌等方法产生。</w:t>
      </w:r>
    </w:p>
    <w:p>
      <w:pPr>
        <w:pStyle w:val="8"/>
        <w:ind w:left="420" w:leftChars="200" w:firstLine="0" w:firstLineChars="0"/>
        <w:rPr>
          <w:rFonts w:ascii="宋体" w:hAnsi="宋体" w:cs="宋体"/>
        </w:rPr>
      </w:pPr>
      <w:r>
        <w:rPr>
          <w:rFonts w:hint="eastAsia" w:ascii="宋体" w:hAnsi="宋体" w:cs="宋体"/>
        </w:rPr>
        <w:t>每批次产品抽取不少于2个独立包装，总量不少于4升的样品，其中检验样品不少于2升，备用样品不少于2升（流通环节备受检单位，电商环节备检验机构）；当产品独立包装＞20升或在成品罐抽样时，应按 GB/T 4756-2015 《石油液体手工取样法》取样，抽取不少于4升样品，平均分为2组，其中1组为检验样品，另1组为备用样品备检验机构。</w:t>
      </w:r>
    </w:p>
    <w:p>
      <w:pPr>
        <w:pStyle w:val="8"/>
        <w:spacing w:before="312" w:beforeLines="100" w:after="312" w:afterLines="100"/>
        <w:ind w:firstLine="0" w:firstLineChars="0"/>
        <w:rPr>
          <w:rFonts w:ascii="黑体" w:hAnsi="黑体" w:eastAsia="黑体" w:cs="黑体"/>
        </w:rPr>
      </w:pPr>
      <w:r>
        <w:rPr>
          <w:rFonts w:hint="eastAsia" w:ascii="黑体" w:hAnsi="黑体" w:eastAsia="黑体" w:cs="黑体"/>
        </w:rPr>
        <w:t>2  检验依据</w:t>
      </w:r>
    </w:p>
    <w:p>
      <w:pPr>
        <w:spacing w:before="156" w:beforeLines="50" w:after="156" w:afterLines="50"/>
        <w:jc w:val="center"/>
        <w:rPr>
          <w:rFonts w:ascii="黑体" w:hAnsi="黑体" w:eastAsia="黑体" w:cs="黑体"/>
        </w:rPr>
      </w:pPr>
      <w:r>
        <w:rPr>
          <w:rFonts w:hint="eastAsia" w:ascii="黑体" w:hAnsi="黑体" w:eastAsia="黑体" w:cs="黑体"/>
        </w:rPr>
        <w:t>表1</w:t>
      </w:r>
      <w:r>
        <w:rPr>
          <w:rFonts w:ascii="黑体" w:hAnsi="黑体" w:eastAsia="黑体" w:cs="黑体"/>
        </w:rPr>
        <w:t xml:space="preserve">  </w:t>
      </w:r>
      <w:r>
        <w:rPr>
          <w:rFonts w:hint="eastAsia" w:ascii="黑体" w:hAnsi="黑体" w:eastAsia="黑体" w:cs="黑体"/>
        </w:rPr>
        <w:t>发动机润滑油检验项目</w:t>
      </w:r>
    </w:p>
    <w:tbl>
      <w:tblPr>
        <w:tblStyle w:val="6"/>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720"/>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ascii="黑体" w:hAnsi="黑体" w:eastAsia="黑体" w:cs="黑体"/>
                <w:szCs w:val="21"/>
              </w:rPr>
              <w:t>序号</w:t>
            </w:r>
          </w:p>
        </w:tc>
        <w:tc>
          <w:tcPr>
            <w:tcW w:w="372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ascii="黑体" w:hAnsi="黑体" w:eastAsia="黑体" w:cs="黑体"/>
                <w:szCs w:val="21"/>
              </w:rPr>
              <w:t>检验项目</w:t>
            </w:r>
          </w:p>
        </w:tc>
        <w:tc>
          <w:tcPr>
            <w:tcW w:w="365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ascii="黑体" w:hAnsi="黑体" w:eastAsia="黑体" w:cs="黑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ascii="宋体" w:hAnsi="宋体"/>
                <w:bCs/>
                <w:szCs w:val="21"/>
              </w:rPr>
              <w:t>1</w:t>
            </w:r>
          </w:p>
        </w:tc>
        <w:tc>
          <w:tcPr>
            <w:tcW w:w="3720" w:type="dxa"/>
            <w:tcBorders>
              <w:top w:val="single" w:color="auto" w:sz="4" w:space="0"/>
              <w:left w:val="single" w:color="auto" w:sz="4" w:space="0"/>
              <w:bottom w:val="single" w:color="auto" w:sz="4" w:space="0"/>
              <w:right w:val="single" w:color="auto" w:sz="4" w:space="0"/>
            </w:tcBorders>
            <w:vAlign w:val="center"/>
          </w:tcPr>
          <w:p>
            <w:pPr>
              <w:pStyle w:val="9"/>
              <w:spacing w:before="0"/>
              <w:ind w:left="289" w:right="283"/>
            </w:pPr>
            <w:r>
              <w:t>运动黏度（100℃），mm2/s</w:t>
            </w:r>
          </w:p>
        </w:tc>
        <w:tc>
          <w:tcPr>
            <w:tcW w:w="3657" w:type="dxa"/>
            <w:tcBorders>
              <w:top w:val="single" w:color="auto" w:sz="4" w:space="0"/>
              <w:left w:val="single" w:color="auto" w:sz="4" w:space="0"/>
              <w:bottom w:val="single" w:color="auto" w:sz="4" w:space="0"/>
              <w:right w:val="single" w:color="auto" w:sz="4" w:space="0"/>
            </w:tcBorders>
            <w:vAlign w:val="center"/>
          </w:tcPr>
          <w:p>
            <w:pPr>
              <w:pStyle w:val="9"/>
              <w:spacing w:before="0"/>
              <w:ind w:left="866" w:right="858"/>
              <w:rPr>
                <w:bCs/>
                <w:szCs w:val="21"/>
              </w:rPr>
            </w:pPr>
            <w:r>
              <w:t>GB/T 265-1988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ascii="宋体" w:hAnsi="宋体"/>
                <w:bCs/>
                <w:szCs w:val="21"/>
              </w:rPr>
              <w:t>2</w:t>
            </w:r>
          </w:p>
        </w:tc>
        <w:tc>
          <w:tcPr>
            <w:tcW w:w="3720" w:type="dxa"/>
            <w:tcBorders>
              <w:top w:val="single" w:color="auto" w:sz="4" w:space="0"/>
              <w:left w:val="single" w:color="auto" w:sz="4" w:space="0"/>
              <w:bottom w:val="single" w:color="auto" w:sz="4" w:space="0"/>
              <w:right w:val="single" w:color="auto" w:sz="4" w:space="0"/>
            </w:tcBorders>
            <w:vAlign w:val="center"/>
          </w:tcPr>
          <w:p>
            <w:pPr>
              <w:pStyle w:val="9"/>
              <w:spacing w:before="0"/>
              <w:ind w:left="289" w:right="281"/>
            </w:pPr>
            <w:r>
              <w:t>倾点，℃</w:t>
            </w:r>
          </w:p>
        </w:tc>
        <w:tc>
          <w:tcPr>
            <w:tcW w:w="3657" w:type="dxa"/>
            <w:tcBorders>
              <w:top w:val="single" w:color="auto" w:sz="4" w:space="0"/>
              <w:left w:val="single" w:color="auto" w:sz="4" w:space="0"/>
              <w:bottom w:val="single" w:color="auto" w:sz="4" w:space="0"/>
              <w:right w:val="single" w:color="auto" w:sz="4" w:space="0"/>
            </w:tcBorders>
            <w:vAlign w:val="center"/>
          </w:tcPr>
          <w:p>
            <w:pPr>
              <w:pStyle w:val="9"/>
              <w:spacing w:before="0"/>
              <w:ind w:left="868" w:right="858"/>
              <w:rPr>
                <w:bCs/>
                <w:szCs w:val="21"/>
              </w:rPr>
            </w:pPr>
            <w:r>
              <w:t>GB/T 3535-2006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ascii="宋体" w:hAnsi="宋体"/>
                <w:bCs/>
                <w:szCs w:val="21"/>
              </w:rPr>
              <w:t>3</w:t>
            </w:r>
          </w:p>
        </w:tc>
        <w:tc>
          <w:tcPr>
            <w:tcW w:w="3720" w:type="dxa"/>
            <w:tcBorders>
              <w:top w:val="single" w:color="auto" w:sz="4" w:space="0"/>
              <w:left w:val="single" w:color="auto" w:sz="4" w:space="0"/>
              <w:bottom w:val="single" w:color="auto" w:sz="4" w:space="0"/>
              <w:right w:val="single" w:color="auto" w:sz="4" w:space="0"/>
            </w:tcBorders>
            <w:vAlign w:val="center"/>
          </w:tcPr>
          <w:p>
            <w:pPr>
              <w:pStyle w:val="9"/>
              <w:spacing w:before="0"/>
              <w:ind w:left="289" w:right="283"/>
            </w:pPr>
            <w:r>
              <w:t>泡沫性</w:t>
            </w:r>
          </w:p>
          <w:p>
            <w:pPr>
              <w:pStyle w:val="9"/>
              <w:spacing w:before="0"/>
              <w:ind w:right="283"/>
            </w:pPr>
            <w:r>
              <w:t>（泡沫倾向/泡沫稳定性），mL/mL</w:t>
            </w:r>
          </w:p>
        </w:tc>
        <w:tc>
          <w:tcPr>
            <w:tcW w:w="3657" w:type="dxa"/>
            <w:tcBorders>
              <w:top w:val="single" w:color="auto" w:sz="4" w:space="0"/>
              <w:left w:val="single" w:color="auto" w:sz="4" w:space="0"/>
              <w:bottom w:val="single" w:color="auto" w:sz="4" w:space="0"/>
              <w:right w:val="single" w:color="auto" w:sz="4" w:space="0"/>
            </w:tcBorders>
            <w:vAlign w:val="center"/>
          </w:tcPr>
          <w:p>
            <w:pPr>
              <w:pStyle w:val="9"/>
              <w:spacing w:before="0"/>
              <w:ind w:left="866" w:right="858"/>
              <w:rPr>
                <w:bCs/>
                <w:szCs w:val="21"/>
              </w:rPr>
            </w:pPr>
            <w:r>
              <w:t>GB/T 12579-2002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ascii="宋体" w:hAnsi="宋体"/>
                <w:bCs/>
                <w:szCs w:val="21"/>
              </w:rPr>
              <w:t>4</w:t>
            </w:r>
          </w:p>
        </w:tc>
        <w:tc>
          <w:tcPr>
            <w:tcW w:w="3720" w:type="dxa"/>
            <w:tcBorders>
              <w:top w:val="single" w:color="auto" w:sz="4" w:space="0"/>
              <w:left w:val="single" w:color="auto" w:sz="4" w:space="0"/>
              <w:bottom w:val="single" w:color="auto" w:sz="4" w:space="0"/>
              <w:right w:val="single" w:color="auto" w:sz="4" w:space="0"/>
            </w:tcBorders>
            <w:vAlign w:val="center"/>
          </w:tcPr>
          <w:p>
            <w:pPr>
              <w:pStyle w:val="9"/>
              <w:spacing w:before="0"/>
              <w:ind w:left="289" w:right="283"/>
            </w:pPr>
            <w:r>
              <w:t>机械杂质，%</w:t>
            </w:r>
          </w:p>
        </w:tc>
        <w:tc>
          <w:tcPr>
            <w:tcW w:w="3657" w:type="dxa"/>
            <w:tcBorders>
              <w:top w:val="single" w:color="auto" w:sz="4" w:space="0"/>
              <w:left w:val="single" w:color="auto" w:sz="4" w:space="0"/>
              <w:bottom w:val="single" w:color="auto" w:sz="4" w:space="0"/>
              <w:right w:val="single" w:color="auto" w:sz="4" w:space="0"/>
            </w:tcBorders>
            <w:vAlign w:val="center"/>
          </w:tcPr>
          <w:p>
            <w:pPr>
              <w:pStyle w:val="9"/>
              <w:spacing w:before="0"/>
              <w:ind w:left="866" w:right="858"/>
              <w:rPr>
                <w:bCs/>
                <w:szCs w:val="21"/>
              </w:rPr>
            </w:pPr>
            <w:r>
              <w:t>GB/T 511</w:t>
            </w:r>
            <w:r>
              <w:rPr>
                <w:rFonts w:hint="eastAsia"/>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ascii="宋体" w:hAnsi="宋体"/>
                <w:bCs/>
                <w:szCs w:val="21"/>
              </w:rPr>
              <w:t>5</w:t>
            </w:r>
          </w:p>
        </w:tc>
        <w:tc>
          <w:tcPr>
            <w:tcW w:w="3720" w:type="dxa"/>
            <w:tcBorders>
              <w:top w:val="single" w:color="auto" w:sz="4" w:space="0"/>
              <w:left w:val="single" w:color="auto" w:sz="4" w:space="0"/>
              <w:bottom w:val="single" w:color="auto" w:sz="4" w:space="0"/>
              <w:right w:val="single" w:color="auto" w:sz="4" w:space="0"/>
            </w:tcBorders>
            <w:vAlign w:val="center"/>
          </w:tcPr>
          <w:p>
            <w:pPr>
              <w:pStyle w:val="9"/>
              <w:spacing w:before="0"/>
              <w:ind w:left="288" w:right="283"/>
            </w:pPr>
            <w:r>
              <w:t>闪点（开口），℃</w:t>
            </w:r>
          </w:p>
        </w:tc>
        <w:tc>
          <w:tcPr>
            <w:tcW w:w="3657" w:type="dxa"/>
            <w:tcBorders>
              <w:top w:val="single" w:color="auto" w:sz="4" w:space="0"/>
              <w:left w:val="single" w:color="auto" w:sz="4" w:space="0"/>
              <w:bottom w:val="single" w:color="auto" w:sz="4" w:space="0"/>
              <w:right w:val="single" w:color="auto" w:sz="4" w:space="0"/>
            </w:tcBorders>
            <w:vAlign w:val="center"/>
          </w:tcPr>
          <w:p>
            <w:pPr>
              <w:pStyle w:val="9"/>
              <w:spacing w:before="0"/>
              <w:ind w:left="868" w:right="858"/>
              <w:rPr>
                <w:bCs/>
                <w:szCs w:val="21"/>
              </w:rPr>
            </w:pPr>
            <w:r>
              <w:t>GB/T 3536-2008</w:t>
            </w:r>
          </w:p>
        </w:tc>
      </w:tr>
    </w:tbl>
    <w:p>
      <w:pPr>
        <w:ind w:left="750" w:leftChars="100" w:hanging="540" w:hangingChars="300"/>
        <w:rPr>
          <w:rFonts w:ascii="宋体" w:hAnsi="宋体"/>
          <w:sz w:val="18"/>
          <w:szCs w:val="18"/>
        </w:rPr>
      </w:pPr>
      <w:r>
        <w:rPr>
          <w:rFonts w:ascii="宋体" w:hAnsi="宋体"/>
          <w:sz w:val="18"/>
          <w:szCs w:val="18"/>
        </w:rPr>
        <w:t>注：1.</w:t>
      </w:r>
      <w:r>
        <w:rPr>
          <w:rFonts w:hint="eastAsia" w:ascii="宋体" w:hAnsi="宋体"/>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pPr>
        <w:ind w:firstLine="540" w:firstLineChars="300"/>
        <w:rPr>
          <w:rFonts w:ascii="宋体" w:hAnsi="宋体"/>
          <w:sz w:val="18"/>
          <w:szCs w:val="18"/>
        </w:rPr>
      </w:pPr>
      <w:r>
        <w:rPr>
          <w:rFonts w:ascii="宋体" w:hAnsi="宋体"/>
          <w:sz w:val="18"/>
          <w:szCs w:val="18"/>
        </w:rPr>
        <w:t>2.检验方法包括相关产品标准及试验方法标准。</w:t>
      </w:r>
    </w:p>
    <w:p>
      <w:pPr>
        <w:ind w:left="718" w:leftChars="256" w:hanging="180" w:hangingChars="10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pPr>
        <w:ind w:left="718" w:leftChars="256" w:hanging="180" w:hangingChars="100"/>
        <w:rPr>
          <w:rFonts w:ascii="宋体" w:hAnsi="宋体"/>
          <w:sz w:val="18"/>
          <w:szCs w:val="18"/>
        </w:rPr>
      </w:pPr>
      <w:r>
        <w:rPr>
          <w:rFonts w:ascii="宋体" w:hAnsi="宋体"/>
          <w:sz w:val="18"/>
          <w:szCs w:val="18"/>
        </w:rPr>
        <w:t>4.执行企业标准、团体标准、地方标准的产品，检验项目参照上述内容执行。</w:t>
      </w:r>
    </w:p>
    <w:p>
      <w:pPr>
        <w:spacing w:before="312" w:beforeLines="100" w:after="312" w:afterLines="100"/>
        <w:rPr>
          <w:rFonts w:ascii="黑体" w:hAnsi="黑体" w:eastAsia="黑体" w:cs="黑体"/>
          <w:szCs w:val="21"/>
        </w:rPr>
      </w:pPr>
      <w:r>
        <w:rPr>
          <w:rFonts w:hint="eastAsia" w:ascii="黑体" w:hAnsi="黑体" w:eastAsia="黑体" w:cs="黑体"/>
          <w:szCs w:val="21"/>
        </w:rPr>
        <w:t>3  判定规则</w:t>
      </w:r>
    </w:p>
    <w:p>
      <w:pPr>
        <w:spacing w:before="312" w:beforeLines="100" w:after="312" w:afterLines="100"/>
        <w:rPr>
          <w:rFonts w:ascii="黑体" w:hAnsi="黑体" w:eastAsia="黑体" w:cs="黑体"/>
          <w:szCs w:val="21"/>
        </w:rPr>
      </w:pPr>
      <w:r>
        <w:rPr>
          <w:rFonts w:hint="eastAsia" w:ascii="黑体" w:hAnsi="黑体" w:eastAsia="黑体" w:cs="黑体"/>
          <w:szCs w:val="21"/>
        </w:rPr>
        <w:t>3.1  依据标准</w:t>
      </w:r>
    </w:p>
    <w:p>
      <w:pPr>
        <w:snapToGrid w:val="0"/>
        <w:ind w:firstLine="420" w:firstLineChars="200"/>
        <w:rPr>
          <w:rFonts w:ascii="宋体" w:hAnsi="宋体"/>
          <w:szCs w:val="21"/>
        </w:rPr>
      </w:pPr>
      <w:r>
        <w:rPr>
          <w:rFonts w:ascii="宋体" w:hAnsi="宋体"/>
          <w:szCs w:val="21"/>
        </w:rPr>
        <w:t>GB 11121-2006</w:t>
      </w:r>
      <w:r>
        <w:rPr>
          <w:rFonts w:ascii="宋体" w:hAnsi="宋体"/>
          <w:szCs w:val="21"/>
        </w:rPr>
        <w:tab/>
      </w:r>
      <w:r>
        <w:rPr>
          <w:rFonts w:ascii="宋体" w:hAnsi="宋体"/>
          <w:szCs w:val="21"/>
        </w:rPr>
        <w:t>汽油机油</w:t>
      </w:r>
    </w:p>
    <w:p>
      <w:pPr>
        <w:snapToGrid w:val="0"/>
        <w:ind w:firstLine="420" w:firstLineChars="200"/>
        <w:rPr>
          <w:rFonts w:ascii="宋体" w:hAnsi="宋体"/>
          <w:szCs w:val="21"/>
        </w:rPr>
      </w:pPr>
      <w:r>
        <w:rPr>
          <w:rFonts w:ascii="宋体" w:hAnsi="宋体"/>
          <w:szCs w:val="21"/>
        </w:rPr>
        <w:t>GB 11122-2006</w:t>
      </w:r>
      <w:r>
        <w:rPr>
          <w:rFonts w:ascii="宋体" w:hAnsi="宋体"/>
          <w:szCs w:val="21"/>
        </w:rPr>
        <w:tab/>
      </w:r>
      <w:r>
        <w:rPr>
          <w:rFonts w:ascii="宋体" w:hAnsi="宋体"/>
          <w:szCs w:val="21"/>
        </w:rPr>
        <w:t>柴油机油</w:t>
      </w:r>
    </w:p>
    <w:p>
      <w:pPr>
        <w:ind w:firstLine="420" w:firstLineChars="200"/>
        <w:rPr>
          <w:rFonts w:ascii="宋体" w:hAnsi="宋体"/>
        </w:rPr>
      </w:pPr>
      <w:r>
        <w:rPr>
          <w:rFonts w:ascii="宋体" w:hAnsi="宋体"/>
        </w:rPr>
        <w:t>GB/T 265</w:t>
      </w:r>
      <w:r>
        <w:rPr>
          <w:rFonts w:hint="eastAsia" w:ascii="宋体" w:hAnsi="宋体"/>
        </w:rPr>
        <w:t xml:space="preserve">  石油产品运动粘度测定法和动力粘度计算法</w:t>
      </w:r>
    </w:p>
    <w:p>
      <w:pPr>
        <w:snapToGrid w:val="0"/>
        <w:ind w:firstLine="420" w:firstLineChars="200"/>
        <w:rPr>
          <w:rFonts w:hint="eastAsia" w:ascii="宋体" w:hAnsi="宋体"/>
          <w:szCs w:val="21"/>
        </w:rPr>
      </w:pPr>
      <w:r>
        <w:rPr>
          <w:rFonts w:ascii="宋体" w:hAnsi="宋体"/>
          <w:szCs w:val="21"/>
        </w:rPr>
        <w:t>GB/T 3535</w:t>
      </w:r>
      <w:r>
        <w:rPr>
          <w:rFonts w:hint="eastAsia" w:ascii="宋体" w:hAnsi="宋体"/>
          <w:szCs w:val="21"/>
        </w:rPr>
        <w:t xml:space="preserve">石油产品倾点测定法 </w:t>
      </w:r>
    </w:p>
    <w:p>
      <w:pPr>
        <w:snapToGrid w:val="0"/>
        <w:ind w:firstLine="420" w:firstLineChars="200"/>
        <w:rPr>
          <w:rFonts w:hint="eastAsia" w:ascii="宋体" w:hAnsi="宋体"/>
          <w:szCs w:val="21"/>
        </w:rPr>
      </w:pPr>
      <w:r>
        <w:rPr>
          <w:rFonts w:ascii="宋体" w:hAnsi="宋体"/>
          <w:szCs w:val="21"/>
        </w:rPr>
        <w:t xml:space="preserve">GB/T 12579 </w:t>
      </w:r>
      <w:r>
        <w:rPr>
          <w:rFonts w:hint="eastAsia" w:ascii="宋体" w:hAnsi="宋体"/>
          <w:szCs w:val="21"/>
        </w:rPr>
        <w:t xml:space="preserve">润滑油泡沫特性测定法 </w:t>
      </w:r>
    </w:p>
    <w:p>
      <w:pPr>
        <w:snapToGrid w:val="0"/>
        <w:ind w:firstLine="420" w:firstLineChars="200"/>
        <w:rPr>
          <w:rFonts w:ascii="宋体" w:hAnsi="宋体"/>
          <w:szCs w:val="21"/>
        </w:rPr>
      </w:pPr>
      <w:r>
        <w:rPr>
          <w:rFonts w:hint="eastAsia" w:ascii="宋体" w:hAnsi="宋体"/>
          <w:szCs w:val="21"/>
        </w:rPr>
        <w:t>GB/T 511石油和石油产品及添加剂机械杂质测定法</w:t>
      </w:r>
    </w:p>
    <w:p>
      <w:pPr>
        <w:snapToGrid w:val="0"/>
        <w:ind w:firstLine="420" w:firstLineChars="200"/>
        <w:rPr>
          <w:rFonts w:ascii="宋体" w:hAnsi="宋体"/>
          <w:szCs w:val="21"/>
        </w:rPr>
      </w:pPr>
      <w:r>
        <w:rPr>
          <w:rFonts w:hint="eastAsia" w:ascii="宋体" w:hAnsi="宋体"/>
          <w:szCs w:val="21"/>
        </w:rPr>
        <w:t>GB/T 3536石油产品 闪点和燃点的测定 克利夫兰开口杯法</w:t>
      </w:r>
    </w:p>
    <w:p>
      <w:pPr>
        <w:pStyle w:val="2"/>
        <w:rPr>
          <w:rFonts w:hint="eastAsia"/>
          <w:lang w:val="en-US" w:bidi="ar-SA"/>
        </w:rPr>
      </w:pPr>
      <w:r>
        <w:rPr>
          <w:lang w:val="en-US" w:bidi="ar-SA"/>
        </w:rPr>
        <w:tab/>
      </w:r>
    </w:p>
    <w:p>
      <w:pPr>
        <w:spacing w:before="312" w:beforeLines="100" w:after="312" w:afterLines="100"/>
        <w:outlineLvl w:val="0"/>
        <w:rPr>
          <w:rFonts w:ascii="黑体" w:hAnsi="黑体" w:eastAsia="黑体" w:cs="黑体"/>
          <w:szCs w:val="21"/>
        </w:rPr>
      </w:pPr>
      <w:r>
        <w:rPr>
          <w:rFonts w:hint="eastAsia" w:ascii="黑体" w:hAnsi="黑体" w:eastAsia="黑体" w:cs="黑体"/>
          <w:szCs w:val="21"/>
        </w:rPr>
        <w:t>3.2  判定原则</w:t>
      </w:r>
    </w:p>
    <w:p>
      <w:pPr>
        <w:pStyle w:val="8"/>
        <w:rPr>
          <w:szCs w:val="21"/>
        </w:rPr>
      </w:pPr>
      <w:r>
        <w:rPr>
          <w:rFonts w:hint="eastAsia"/>
          <w:szCs w:val="21"/>
        </w:rPr>
        <w:t>经检验，检验项目全部合格，判定为被抽查产品所检项目未发现不合格；检验项目中任一项或一项以上不合格，判定为被抽查产品不合格。</w:t>
      </w:r>
    </w:p>
    <w:p>
      <w:pPr>
        <w:pStyle w:val="8"/>
      </w:pPr>
      <w:r>
        <w:t>若被检产品明示的质量要求高于本细则中检验项目依据的标准要求时，应按被检产品明示的质量要求判定。</w:t>
      </w:r>
    </w:p>
    <w:p>
      <w:pPr>
        <w:pStyle w:val="8"/>
      </w:pPr>
      <w:r>
        <w:t>若被检产品明示的质量要求低于本细则中检验项目依据的强制性标准要求时，应按照强制性标准要求判定。</w:t>
      </w:r>
    </w:p>
    <w:p>
      <w:pPr>
        <w:pStyle w:val="8"/>
      </w:pPr>
      <w:r>
        <w:t>若被检产品明示的质量要求低于或包含本细则中检验项目依据的推荐性标准要求时，应以被检产品明示的质量要求判定</w:t>
      </w:r>
      <w:r>
        <w:rPr>
          <w:rFonts w:hint="eastAsia" w:ascii="宋体" w:hAnsi="宋体" w:cs="宋体"/>
          <w:color w:val="000000"/>
          <w:szCs w:val="21"/>
        </w:rPr>
        <w:t>，但应在检验报告备注中进行说明</w:t>
      </w:r>
      <w:r>
        <w:t>。</w:t>
      </w:r>
    </w:p>
    <w:p>
      <w:pPr>
        <w:pStyle w:val="8"/>
      </w:pPr>
      <w:r>
        <w:t>若被检产品明示的质量要求缺少本细则中检验项目依据的强制性标准要求时，应按照强制性标准要求判定。</w:t>
      </w:r>
    </w:p>
    <w:p>
      <w:pPr>
        <w:ind w:firstLine="420" w:firstLineChars="200"/>
      </w:pPr>
      <w:r>
        <w:rPr>
          <w:rFonts w:hint="eastAsia"/>
          <w:szCs w:val="21"/>
        </w:rPr>
        <w:t>若被检产品明示的质量要求缺少本细则中检验项目依据的推荐性标准要求时，该项目不参与判定</w:t>
      </w:r>
      <w:r>
        <w:rPr>
          <w:rFonts w:hint="eastAsia" w:ascii="宋体" w:hAnsi="宋体" w:cs="宋体"/>
          <w:color w:val="000000"/>
          <w:szCs w:val="21"/>
        </w:rPr>
        <w:t>，但应在检验报告备注中进行说。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MjJmZGQwYjM5YjFjZmU2MmRkNTZlY2RiMThmZTcifQ=="/>
  </w:docVars>
  <w:rsids>
    <w:rsidRoot w:val="34ED1F22"/>
    <w:rsid w:val="00026108"/>
    <w:rsid w:val="000C371B"/>
    <w:rsid w:val="00175F96"/>
    <w:rsid w:val="00317069"/>
    <w:rsid w:val="0039029E"/>
    <w:rsid w:val="00432983"/>
    <w:rsid w:val="00627A3B"/>
    <w:rsid w:val="00746013"/>
    <w:rsid w:val="0080560C"/>
    <w:rsid w:val="00A00B63"/>
    <w:rsid w:val="00AC0634"/>
    <w:rsid w:val="00CA14CB"/>
    <w:rsid w:val="00D55F20"/>
    <w:rsid w:val="00DA4115"/>
    <w:rsid w:val="00DC3B80"/>
    <w:rsid w:val="00E82B48"/>
    <w:rsid w:val="00E86FD5"/>
    <w:rsid w:val="00EB3411"/>
    <w:rsid w:val="00F22D18"/>
    <w:rsid w:val="045E0EAA"/>
    <w:rsid w:val="0D8238FA"/>
    <w:rsid w:val="117A14B8"/>
    <w:rsid w:val="12886398"/>
    <w:rsid w:val="13826402"/>
    <w:rsid w:val="16CF1E5C"/>
    <w:rsid w:val="18D7611C"/>
    <w:rsid w:val="1A2C356C"/>
    <w:rsid w:val="22EA517F"/>
    <w:rsid w:val="2AE80DE9"/>
    <w:rsid w:val="2FFF1CBA"/>
    <w:rsid w:val="34ED1F22"/>
    <w:rsid w:val="41E9571B"/>
    <w:rsid w:val="602D425C"/>
    <w:rsid w:val="61ED495B"/>
    <w:rsid w:val="68C31B5A"/>
    <w:rsid w:val="6A8614A9"/>
    <w:rsid w:val="791A3E30"/>
    <w:rsid w:val="7E86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8"/>
      <w:szCs w:val="28"/>
      <w:lang w:val="zh-CN" w:bidi="zh-CN"/>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paragraph" w:customStyle="1" w:styleId="9">
    <w:name w:val="Table Paragraph"/>
    <w:basedOn w:val="1"/>
    <w:qFormat/>
    <w:uiPriority w:val="1"/>
    <w:pPr>
      <w:spacing w:before="71"/>
      <w:ind w:left="11"/>
      <w:jc w:val="center"/>
    </w:pPr>
    <w:rPr>
      <w:rFonts w:ascii="宋体" w:hAnsi="宋体" w:cs="宋体"/>
      <w:lang w:val="zh-CN" w:bidi="zh-CN"/>
    </w:rPr>
  </w:style>
  <w:style w:type="character" w:customStyle="1" w:styleId="10">
    <w:name w:val="页眉 字符"/>
    <w:basedOn w:val="7"/>
    <w:link w:val="5"/>
    <w:qFormat/>
    <w:uiPriority w:val="0"/>
    <w:rPr>
      <w:rFonts w:ascii="Calibri" w:hAnsi="Calibri"/>
      <w:kern w:val="2"/>
      <w:sz w:val="18"/>
      <w:szCs w:val="18"/>
    </w:rPr>
  </w:style>
  <w:style w:type="character" w:customStyle="1" w:styleId="11">
    <w:name w:val="页脚 字符"/>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Words>
  <Characters>990</Characters>
  <Lines>8</Lines>
  <Paragraphs>2</Paragraphs>
  <TotalTime>46</TotalTime>
  <ScaleCrop>false</ScaleCrop>
  <LinksUpToDate>false</LinksUpToDate>
  <CharactersWithSpaces>1161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2022-07-03T15:45:00Z</dcterms:created>
  <dc:creator>Hao</dc:creator>
  <cp:lastModifiedBy>追&amp;逐</cp:lastModifiedBy>
  <dcterms:modified xsi:type="dcterms:W3CDTF">2023-09-26T02:33:35Z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8716C90E60284AB684CA647D24E0A4D5</vt:lpwstr>
  </property>
</Properties>
</file>