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left"/>
        <w:rPr>
          <w:rFonts w:ascii="宋体" w:hAnsi="宋体" w:cs="宋体"/>
          <w:sz w:val="24"/>
          <w:szCs w:val="24"/>
        </w:rPr>
      </w:pPr>
    </w:p>
    <w:p>
      <w:pPr>
        <w:jc w:val="center"/>
        <w:rPr>
          <w:rFonts w:hint="default" w:ascii="黑体" w:hAnsi="黑体" w:eastAsia="黑体" w:cs="黑体"/>
          <w:sz w:val="32"/>
          <w:szCs w:val="32"/>
          <w:lang w:val="en-US" w:eastAsia="zh-CN"/>
        </w:rPr>
      </w:pPr>
      <w:r>
        <w:rPr>
          <w:rFonts w:hint="eastAsia" w:ascii="黑体" w:hAnsi="黑体" w:eastAsia="黑体" w:cs="黑体"/>
          <w:sz w:val="32"/>
          <w:szCs w:val="32"/>
        </w:rPr>
        <w:t>SNHD-2023-</w:t>
      </w:r>
      <w:r>
        <w:rPr>
          <w:rFonts w:hint="eastAsia" w:ascii="黑体" w:hAnsi="黑体" w:eastAsia="黑体" w:cs="黑体"/>
          <w:sz w:val="32"/>
          <w:szCs w:val="32"/>
          <w:lang w:val="en-US" w:eastAsia="zh-CN"/>
        </w:rPr>
        <w:t>14</w:t>
      </w:r>
      <w:bookmarkStart w:id="0" w:name="_GoBack"/>
      <w:bookmarkEnd w:id="0"/>
    </w:p>
    <w:p>
      <w:pPr>
        <w:jc w:val="center"/>
        <w:rPr>
          <w:rFonts w:ascii="黑体" w:hAnsi="黑体" w:eastAsia="黑体" w:cs="黑体"/>
          <w:sz w:val="32"/>
          <w:szCs w:val="32"/>
        </w:rPr>
      </w:pPr>
      <w:r>
        <w:rPr>
          <w:rFonts w:hint="eastAsia" w:ascii="黑体" w:hAnsi="黑体" w:eastAsia="黑体" w:cs="黑体"/>
          <w:sz w:val="32"/>
          <w:szCs w:val="32"/>
        </w:rPr>
        <w:t>遂宁市</w:t>
      </w:r>
      <w:r>
        <w:rPr>
          <w:rFonts w:hint="eastAsia" w:ascii="黑体" w:hAnsi="黑体" w:eastAsia="黑体" w:cs="黑体"/>
          <w:sz w:val="32"/>
          <w:szCs w:val="32"/>
          <w:lang w:eastAsia="zh-CN"/>
        </w:rPr>
        <w:t>手提式灭火器</w:t>
      </w:r>
      <w:r>
        <w:rPr>
          <w:rFonts w:hint="eastAsia" w:ascii="黑体" w:hAnsi="黑体" w:eastAsia="黑体" w:cs="黑体"/>
          <w:sz w:val="32"/>
          <w:szCs w:val="32"/>
        </w:rPr>
        <w:t>产品质量监督抽查实施细则</w:t>
      </w:r>
    </w:p>
    <w:p>
      <w:pPr>
        <w:spacing w:before="240" w:beforeLines="100" w:after="240" w:afterLines="100"/>
        <w:jc w:val="left"/>
        <w:rPr>
          <w:rFonts w:ascii="黑体" w:hAnsi="黑体" w:eastAsia="黑体" w:cs="黑体"/>
          <w:color w:val="FF0000"/>
        </w:rPr>
      </w:pPr>
      <w:r>
        <w:rPr>
          <w:rFonts w:hint="eastAsia" w:ascii="黑体" w:hAnsi="黑体" w:eastAsia="黑体" w:cs="黑体"/>
        </w:rPr>
        <w:t>1  抽样方法</w:t>
      </w:r>
    </w:p>
    <w:p>
      <w:pPr>
        <w:pStyle w:val="31"/>
        <w:rPr>
          <w:rFonts w:asciiTheme="minorEastAsia" w:hAnsiTheme="minorEastAsia" w:eastAsiaTheme="minorEastAsia"/>
        </w:rPr>
      </w:pPr>
      <w:r>
        <w:rPr>
          <w:rFonts w:hint="eastAsia" w:asciiTheme="minorEastAsia" w:hAnsiTheme="minorEastAsia" w:eastAsiaTheme="minorEastAsia"/>
        </w:rPr>
        <w:t>以随机抽样的方式在被抽样生产者、销售者的待销产品中抽取。</w:t>
      </w:r>
    </w:p>
    <w:p>
      <w:pPr>
        <w:pStyle w:val="31"/>
        <w:rPr>
          <w:rFonts w:asciiTheme="minorEastAsia" w:hAnsiTheme="minorEastAsia" w:eastAsiaTheme="minorEastAsia"/>
        </w:rPr>
      </w:pPr>
      <w:r>
        <w:rPr>
          <w:rFonts w:hint="eastAsia" w:asciiTheme="minorEastAsia" w:hAnsiTheme="minorEastAsia" w:eastAsiaTheme="minorEastAsia"/>
        </w:rPr>
        <w:t>随机数一般可使用随机数表等方法产生。</w:t>
      </w:r>
    </w:p>
    <w:p>
      <w:pPr>
        <w:pStyle w:val="31"/>
        <w:rPr>
          <w:rFonts w:asciiTheme="minorEastAsia" w:hAnsiTheme="minorEastAsia" w:eastAsiaTheme="minorEastAsia"/>
        </w:rPr>
      </w:pPr>
      <w:r>
        <w:rPr>
          <w:rFonts w:hint="eastAsia" w:asciiTheme="minorEastAsia" w:hAnsiTheme="minorEastAsia" w:eastAsiaTheme="minorEastAsia"/>
        </w:rPr>
        <w:t>每批次产品抽取样品</w:t>
      </w:r>
      <w:r>
        <w:rPr>
          <w:rFonts w:hint="eastAsia" w:ascii="宋体" w:hAnsi="宋体" w:cs="宋体"/>
          <w:color w:val="000000"/>
          <w:szCs w:val="21"/>
          <w:lang w:val="en-US" w:eastAsia="zh-CN"/>
        </w:rPr>
        <w:t>4</w:t>
      </w:r>
      <w:r>
        <w:rPr>
          <w:rFonts w:hint="eastAsia" w:ascii="宋体" w:hAnsi="宋体" w:eastAsia="宋体" w:cs="宋体"/>
          <w:color w:val="000000"/>
          <w:szCs w:val="21"/>
        </w:rPr>
        <w:t>具</w:t>
      </w:r>
      <w:r>
        <w:rPr>
          <w:rFonts w:hint="eastAsia" w:asciiTheme="minorEastAsia" w:hAnsiTheme="minorEastAsia" w:eastAsiaTheme="minorEastAsia"/>
        </w:rPr>
        <w:t>，其中备样</w:t>
      </w:r>
      <w:r>
        <w:rPr>
          <w:rFonts w:hint="eastAsia" w:ascii="宋体" w:hAnsi="宋体" w:cs="宋体"/>
          <w:color w:val="000000"/>
          <w:szCs w:val="21"/>
          <w:lang w:val="en-US" w:eastAsia="zh-CN"/>
        </w:rPr>
        <w:t>2</w:t>
      </w:r>
      <w:r>
        <w:rPr>
          <w:rFonts w:hint="eastAsia" w:ascii="宋体" w:hAnsi="宋体" w:eastAsia="宋体" w:cs="宋体"/>
          <w:color w:val="000000"/>
          <w:szCs w:val="21"/>
        </w:rPr>
        <w:t>具</w:t>
      </w:r>
      <w:r>
        <w:rPr>
          <w:rFonts w:hint="eastAsia" w:asciiTheme="minorEastAsia" w:hAnsiTheme="minorEastAsia" w:eastAsiaTheme="minorEastAsia"/>
        </w:rPr>
        <w:t>。备用样品封存于受检单位。</w:t>
      </w:r>
    </w:p>
    <w:p>
      <w:pPr>
        <w:pStyle w:val="31"/>
        <w:spacing w:before="240" w:beforeLines="100" w:after="240" w:afterLines="100"/>
        <w:ind w:firstLine="0" w:firstLineChars="0"/>
        <w:rPr>
          <w:rFonts w:ascii="黑体" w:hAnsi="黑体" w:eastAsia="黑体" w:cs="黑体"/>
        </w:rPr>
      </w:pPr>
      <w:r>
        <w:rPr>
          <w:rFonts w:hint="eastAsia" w:ascii="黑体" w:hAnsi="黑体" w:eastAsia="黑体" w:cs="黑体"/>
        </w:rPr>
        <w:t>2  检验依据</w:t>
      </w:r>
    </w:p>
    <w:p>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jc w:val="center"/>
        <w:textAlignment w:val="auto"/>
        <w:rPr>
          <w:rFonts w:hint="eastAsia" w:ascii="黑体" w:hAnsi="黑体" w:eastAsia="黑体" w:cs="黑体"/>
          <w:color w:val="000000"/>
          <w:szCs w:val="21"/>
          <w:lang w:val="en-US" w:eastAsia="zh-CN"/>
        </w:rPr>
      </w:pPr>
      <w:r>
        <w:rPr>
          <w:rFonts w:hint="eastAsia" w:ascii="黑体" w:hAnsi="黑体" w:eastAsia="黑体" w:cs="黑体"/>
          <w:color w:val="000000"/>
          <w:szCs w:val="21"/>
          <w:lang w:val="en-US" w:eastAsia="zh-CN"/>
        </w:rPr>
        <w:t>表1  手提式灭火器检验项目</w:t>
      </w:r>
    </w:p>
    <w:tbl>
      <w:tblPr>
        <w:tblStyle w:val="13"/>
        <w:tblW w:w="48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2863"/>
        <w:gridCol w:w="2669"/>
        <w:gridCol w:w="3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384" w:type="pct"/>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color w:val="000000"/>
                <w:szCs w:val="21"/>
              </w:rPr>
            </w:pPr>
            <w:r>
              <w:rPr>
                <w:rFonts w:hint="eastAsia" w:ascii="黑体" w:hAnsi="黑体" w:eastAsia="黑体" w:cs="黑体"/>
                <w:color w:val="000000"/>
                <w:szCs w:val="21"/>
              </w:rPr>
              <w:t>序号</w:t>
            </w:r>
          </w:p>
        </w:tc>
        <w:tc>
          <w:tcPr>
            <w:tcW w:w="2989" w:type="pct"/>
            <w:gridSpan w:val="2"/>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color w:val="000000"/>
                <w:szCs w:val="21"/>
              </w:rPr>
            </w:pPr>
            <w:r>
              <w:rPr>
                <w:rFonts w:hint="eastAsia" w:ascii="黑体" w:hAnsi="黑体" w:eastAsia="黑体" w:cs="黑体"/>
                <w:color w:val="000000"/>
                <w:szCs w:val="21"/>
              </w:rPr>
              <w:t>检验项目</w:t>
            </w:r>
          </w:p>
        </w:tc>
        <w:tc>
          <w:tcPr>
            <w:tcW w:w="1626" w:type="pct"/>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color w:val="000000"/>
                <w:szCs w:val="21"/>
              </w:rPr>
            </w:pPr>
            <w:r>
              <w:rPr>
                <w:rFonts w:hint="eastAsia" w:ascii="黑体" w:hAnsi="黑体" w:eastAsia="黑体" w:cs="黑体"/>
                <w:color w:val="000000"/>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84" w:type="pct"/>
            <w:vMerge w:val="restart"/>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olor w:val="000000"/>
                <w:szCs w:val="21"/>
              </w:rPr>
            </w:pPr>
            <w:r>
              <w:rPr>
                <w:rFonts w:hint="eastAsia" w:ascii="宋体" w:hAnsi="宋体"/>
                <w:color w:val="000000"/>
                <w:szCs w:val="21"/>
              </w:rPr>
              <w:t>1</w:t>
            </w:r>
          </w:p>
        </w:tc>
        <w:tc>
          <w:tcPr>
            <w:tcW w:w="1547" w:type="pct"/>
            <w:vMerge w:val="restart"/>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olor w:val="000000"/>
                <w:szCs w:val="21"/>
              </w:rPr>
            </w:pPr>
            <w:r>
              <w:rPr>
                <w:rFonts w:hint="eastAsia" w:ascii="宋体" w:hAnsi="宋体"/>
                <w:color w:val="000000"/>
                <w:szCs w:val="21"/>
              </w:rPr>
              <w:t>20℃温度喷射性能试验</w:t>
            </w:r>
          </w:p>
        </w:tc>
        <w:tc>
          <w:tcPr>
            <w:tcW w:w="1442" w:type="pct"/>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olor w:val="000000"/>
                <w:szCs w:val="21"/>
              </w:rPr>
            </w:pPr>
            <w:r>
              <w:rPr>
                <w:rFonts w:hint="eastAsia" w:ascii="宋体" w:hAnsi="宋体"/>
                <w:color w:val="000000"/>
                <w:szCs w:val="21"/>
              </w:rPr>
              <w:t xml:space="preserve">最小有效喷射时间 </w:t>
            </w:r>
          </w:p>
        </w:tc>
        <w:tc>
          <w:tcPr>
            <w:tcW w:w="1626" w:type="pct"/>
            <w:vMerge w:val="restart"/>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olor w:val="000000"/>
                <w:szCs w:val="21"/>
              </w:rPr>
            </w:pPr>
            <w:r>
              <w:rPr>
                <w:rFonts w:hint="eastAsia" w:ascii="宋体" w:hAnsi="宋体"/>
                <w:color w:val="000000"/>
                <w:szCs w:val="21"/>
              </w:rPr>
              <w:t>GB 4351.1-2005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384" w:type="pct"/>
            <w:vMerge w:val="continue"/>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olor w:val="000000"/>
                <w:szCs w:val="21"/>
              </w:rPr>
            </w:pPr>
          </w:p>
        </w:tc>
        <w:tc>
          <w:tcPr>
            <w:tcW w:w="1547" w:type="pct"/>
            <w:vMerge w:val="continue"/>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olor w:val="000000"/>
                <w:szCs w:val="21"/>
              </w:rPr>
            </w:pPr>
          </w:p>
        </w:tc>
        <w:tc>
          <w:tcPr>
            <w:tcW w:w="1442" w:type="pct"/>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olor w:val="000000"/>
                <w:szCs w:val="21"/>
              </w:rPr>
            </w:pPr>
            <w:r>
              <w:rPr>
                <w:rFonts w:hint="eastAsia" w:ascii="宋体" w:hAnsi="宋体"/>
                <w:color w:val="000000"/>
                <w:szCs w:val="21"/>
              </w:rPr>
              <w:t>最小喷射距离</w:t>
            </w:r>
          </w:p>
        </w:tc>
        <w:tc>
          <w:tcPr>
            <w:tcW w:w="1626" w:type="pct"/>
            <w:vMerge w:val="continue"/>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384" w:type="pct"/>
            <w:vMerge w:val="continue"/>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olor w:val="000000"/>
                <w:szCs w:val="21"/>
              </w:rPr>
            </w:pPr>
          </w:p>
        </w:tc>
        <w:tc>
          <w:tcPr>
            <w:tcW w:w="1547" w:type="pct"/>
            <w:vMerge w:val="continue"/>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olor w:val="000000"/>
                <w:szCs w:val="21"/>
              </w:rPr>
            </w:pPr>
          </w:p>
        </w:tc>
        <w:tc>
          <w:tcPr>
            <w:tcW w:w="1442" w:type="pct"/>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olor w:val="000000"/>
                <w:szCs w:val="21"/>
              </w:rPr>
            </w:pPr>
            <w:r>
              <w:rPr>
                <w:rFonts w:ascii="宋体" w:hAnsi="宋体"/>
                <w:color w:val="000000"/>
                <w:szCs w:val="21"/>
              </w:rPr>
              <w:t>喷射滞后时间</w:t>
            </w:r>
          </w:p>
        </w:tc>
        <w:tc>
          <w:tcPr>
            <w:tcW w:w="1626" w:type="pct"/>
            <w:vMerge w:val="continue"/>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384" w:type="pct"/>
            <w:vMerge w:val="continue"/>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olor w:val="000000"/>
                <w:szCs w:val="21"/>
              </w:rPr>
            </w:pPr>
          </w:p>
        </w:tc>
        <w:tc>
          <w:tcPr>
            <w:tcW w:w="1547" w:type="pct"/>
            <w:vMerge w:val="continue"/>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olor w:val="000000"/>
                <w:szCs w:val="21"/>
              </w:rPr>
            </w:pPr>
          </w:p>
        </w:tc>
        <w:tc>
          <w:tcPr>
            <w:tcW w:w="1442" w:type="pct"/>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olor w:val="000000"/>
                <w:szCs w:val="21"/>
              </w:rPr>
            </w:pPr>
            <w:r>
              <w:rPr>
                <w:rFonts w:hint="eastAsia" w:ascii="宋体" w:hAnsi="宋体"/>
                <w:color w:val="000000"/>
                <w:szCs w:val="21"/>
              </w:rPr>
              <w:t>喷射剩余率</w:t>
            </w:r>
          </w:p>
        </w:tc>
        <w:tc>
          <w:tcPr>
            <w:tcW w:w="1626" w:type="pct"/>
            <w:vMerge w:val="continue"/>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384" w:type="pct"/>
            <w:vMerge w:val="restart"/>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olor w:val="000000"/>
                <w:szCs w:val="21"/>
              </w:rPr>
            </w:pPr>
            <w:r>
              <w:rPr>
                <w:rFonts w:hint="eastAsia" w:ascii="宋体" w:hAnsi="宋体"/>
                <w:color w:val="000000"/>
                <w:szCs w:val="21"/>
              </w:rPr>
              <w:t>2</w:t>
            </w:r>
          </w:p>
        </w:tc>
        <w:tc>
          <w:tcPr>
            <w:tcW w:w="1547" w:type="pct"/>
            <w:vMerge w:val="restart"/>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olor w:val="000000"/>
                <w:szCs w:val="21"/>
              </w:rPr>
            </w:pPr>
            <w:r>
              <w:rPr>
                <w:rFonts w:hint="eastAsia" w:ascii="宋体" w:hAnsi="宋体"/>
                <w:color w:val="000000"/>
                <w:szCs w:val="21"/>
              </w:rPr>
              <w:t>质量</w:t>
            </w:r>
          </w:p>
        </w:tc>
        <w:tc>
          <w:tcPr>
            <w:tcW w:w="1442" w:type="pct"/>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olor w:val="000000"/>
                <w:szCs w:val="21"/>
              </w:rPr>
            </w:pPr>
            <w:r>
              <w:rPr>
                <w:rFonts w:hint="eastAsia" w:ascii="宋体" w:hAnsi="宋体"/>
                <w:color w:val="000000"/>
                <w:szCs w:val="21"/>
              </w:rPr>
              <w:t>灭火器总质量</w:t>
            </w:r>
          </w:p>
        </w:tc>
        <w:tc>
          <w:tcPr>
            <w:tcW w:w="1626" w:type="pct"/>
            <w:vMerge w:val="restart"/>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olor w:val="000000"/>
                <w:szCs w:val="21"/>
              </w:rPr>
            </w:pPr>
            <w:r>
              <w:rPr>
                <w:rFonts w:hint="eastAsia" w:ascii="宋体" w:hAnsi="宋体"/>
                <w:color w:val="000000"/>
                <w:szCs w:val="21"/>
              </w:rPr>
              <w:t>GB 4351.1-2005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384" w:type="pct"/>
            <w:vMerge w:val="continue"/>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olor w:val="000000"/>
                <w:szCs w:val="21"/>
              </w:rPr>
            </w:pPr>
          </w:p>
        </w:tc>
        <w:tc>
          <w:tcPr>
            <w:tcW w:w="1547" w:type="pct"/>
            <w:vMerge w:val="continue"/>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olor w:val="000000"/>
                <w:szCs w:val="21"/>
              </w:rPr>
            </w:pPr>
          </w:p>
        </w:tc>
        <w:tc>
          <w:tcPr>
            <w:tcW w:w="1442" w:type="pct"/>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olor w:val="000000"/>
                <w:szCs w:val="21"/>
              </w:rPr>
            </w:pPr>
            <w:r>
              <w:rPr>
                <w:rFonts w:hint="eastAsia" w:ascii="宋体" w:hAnsi="宋体"/>
                <w:color w:val="000000"/>
                <w:szCs w:val="21"/>
              </w:rPr>
              <w:t>灭火剂充装总量误差</w:t>
            </w:r>
          </w:p>
        </w:tc>
        <w:tc>
          <w:tcPr>
            <w:tcW w:w="1626" w:type="pct"/>
            <w:vMerge w:val="continue"/>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olor w:val="000000"/>
                <w:szCs w:val="21"/>
              </w:rPr>
            </w:pPr>
            <w:r>
              <w:rPr>
                <w:rFonts w:hint="eastAsia" w:ascii="宋体" w:hAnsi="宋体"/>
                <w:color w:val="000000"/>
                <w:szCs w:val="21"/>
              </w:rPr>
              <w:t>3</w:t>
            </w:r>
          </w:p>
        </w:tc>
        <w:tc>
          <w:tcPr>
            <w:tcW w:w="2989" w:type="pct"/>
            <w:gridSpan w:val="2"/>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olor w:val="000000"/>
                <w:szCs w:val="21"/>
              </w:rPr>
            </w:pPr>
            <w:r>
              <w:rPr>
                <w:rFonts w:hint="eastAsia" w:ascii="宋体" w:hAnsi="宋体"/>
                <w:color w:val="000000"/>
                <w:szCs w:val="21"/>
              </w:rPr>
              <w:t>水压试验（筒体）</w:t>
            </w:r>
          </w:p>
        </w:tc>
        <w:tc>
          <w:tcPr>
            <w:tcW w:w="1626" w:type="pct"/>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olor w:val="000000"/>
                <w:szCs w:val="21"/>
              </w:rPr>
            </w:pPr>
            <w:r>
              <w:rPr>
                <w:rFonts w:hint="eastAsia" w:ascii="宋体" w:hAnsi="宋体"/>
                <w:color w:val="000000"/>
                <w:szCs w:val="21"/>
              </w:rPr>
              <w:t>GB 4351.1-2005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olor w:val="000000"/>
                <w:szCs w:val="21"/>
                <w:lang w:eastAsia="zh-CN"/>
              </w:rPr>
            </w:pPr>
            <w:r>
              <w:rPr>
                <w:rFonts w:hint="eastAsia" w:ascii="宋体" w:hAnsi="宋体"/>
                <w:color w:val="000000"/>
                <w:szCs w:val="21"/>
                <w:lang w:val="en-US" w:eastAsia="zh-CN"/>
              </w:rPr>
              <w:t>4</w:t>
            </w:r>
          </w:p>
        </w:tc>
        <w:tc>
          <w:tcPr>
            <w:tcW w:w="1547" w:type="pct"/>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olor w:val="000000"/>
                <w:szCs w:val="21"/>
              </w:rPr>
            </w:pPr>
            <w:r>
              <w:rPr>
                <w:rFonts w:hint="eastAsia" w:ascii="宋体" w:hAnsi="宋体"/>
                <w:color w:val="000000"/>
                <w:szCs w:val="21"/>
              </w:rPr>
              <w:t>灭火剂和驱动气体</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olor w:val="000000"/>
                <w:szCs w:val="21"/>
              </w:rPr>
            </w:pPr>
            <w:r>
              <w:rPr>
                <w:rFonts w:hint="eastAsia" w:ascii="宋体" w:hAnsi="宋体"/>
                <w:color w:val="000000"/>
                <w:szCs w:val="21"/>
              </w:rPr>
              <w:t>（干粉灭火剂）</w:t>
            </w:r>
          </w:p>
        </w:tc>
        <w:tc>
          <w:tcPr>
            <w:tcW w:w="1442" w:type="pct"/>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olor w:val="000000"/>
                <w:szCs w:val="21"/>
              </w:rPr>
            </w:pPr>
            <w:r>
              <w:rPr>
                <w:rFonts w:hint="eastAsia" w:ascii="宋体" w:hAnsi="宋体"/>
                <w:color w:val="000000"/>
                <w:szCs w:val="21"/>
              </w:rPr>
              <w:t>第一主要组分含量</w:t>
            </w:r>
          </w:p>
        </w:tc>
        <w:tc>
          <w:tcPr>
            <w:tcW w:w="1626" w:type="pct"/>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olor w:val="000000"/>
                <w:szCs w:val="21"/>
              </w:rPr>
            </w:pPr>
            <w:r>
              <w:rPr>
                <w:rFonts w:hint="eastAsia" w:ascii="宋体" w:hAnsi="宋体"/>
                <w:color w:val="000000"/>
                <w:szCs w:val="21"/>
              </w:rPr>
              <w:t>GB 4066-2017</w:t>
            </w:r>
          </w:p>
        </w:tc>
      </w:tr>
    </w:tbl>
    <w:p>
      <w:pPr>
        <w:ind w:left="718" w:leftChars="85" w:hanging="540" w:hangingChars="300"/>
        <w:rPr>
          <w:rFonts w:ascii="宋体" w:hAnsi="宋体"/>
          <w:sz w:val="18"/>
          <w:szCs w:val="18"/>
        </w:rPr>
      </w:pPr>
      <w:r>
        <w:rPr>
          <w:rFonts w:ascii="宋体" w:hAnsi="宋体"/>
          <w:sz w:val="18"/>
          <w:szCs w:val="18"/>
        </w:rPr>
        <w:t>注：1.</w:t>
      </w:r>
      <w:r>
        <w:rPr>
          <w:rFonts w:hint="eastAsia" w:ascii="宋体" w:hAnsi="宋体"/>
          <w:sz w:val="18"/>
          <w:szCs w:val="18"/>
        </w:rPr>
        <w:t>上</w:t>
      </w:r>
      <w:r>
        <w:rPr>
          <w:rFonts w:ascii="宋体" w:hAnsi="宋体"/>
          <w:sz w:val="18"/>
          <w:szCs w:val="18"/>
        </w:rPr>
        <w:t>表所列检验项目是有关法律法规、标准等规定的，重点涉及健康、安全、节能、环保以及消费者、有关组织反映有质量问题的重要项目。</w:t>
      </w:r>
    </w:p>
    <w:p>
      <w:pPr>
        <w:ind w:firstLine="540" w:firstLineChars="300"/>
        <w:rPr>
          <w:rFonts w:ascii="宋体" w:hAnsi="宋体"/>
          <w:sz w:val="18"/>
          <w:szCs w:val="18"/>
        </w:rPr>
      </w:pPr>
      <w:r>
        <w:rPr>
          <w:rFonts w:ascii="宋体" w:hAnsi="宋体"/>
          <w:sz w:val="18"/>
          <w:szCs w:val="18"/>
        </w:rPr>
        <w:t>2.检验方法包括相关产品标准及试验方法标准。</w:t>
      </w:r>
    </w:p>
    <w:p>
      <w:pPr>
        <w:ind w:left="718" w:leftChars="256" w:hanging="180" w:hangingChars="100"/>
        <w:rPr>
          <w:rFonts w:ascii="宋体" w:hAnsi="宋体"/>
          <w:sz w:val="18"/>
          <w:szCs w:val="18"/>
        </w:rPr>
      </w:pPr>
      <w:r>
        <w:rPr>
          <w:rFonts w:ascii="宋体" w:hAnsi="宋体"/>
          <w:sz w:val="18"/>
          <w:szCs w:val="18"/>
        </w:rPr>
        <w:t>3.凡是注日期的文件，其随后所有的修改单（不包括勘误的内容）或修订版不适用于本细则。凡是不注日期的文件，其最新版本适用于本细则。</w:t>
      </w:r>
    </w:p>
    <w:p>
      <w:pPr>
        <w:ind w:firstLine="540" w:firstLineChars="300"/>
        <w:rPr>
          <w:rFonts w:ascii="宋体" w:hAnsi="宋体"/>
          <w:sz w:val="18"/>
          <w:szCs w:val="18"/>
        </w:rPr>
      </w:pPr>
      <w:r>
        <w:rPr>
          <w:rFonts w:ascii="宋体" w:hAnsi="宋体"/>
          <w:sz w:val="18"/>
          <w:szCs w:val="18"/>
        </w:rPr>
        <w:t>4.执行企业标准、团体标准、地方标准的产品，检验项目参照上述内容执行。</w:t>
      </w:r>
    </w:p>
    <w:p>
      <w:pPr>
        <w:spacing w:before="240" w:beforeLines="100" w:after="240" w:afterLines="100"/>
        <w:outlineLvl w:val="0"/>
        <w:rPr>
          <w:rFonts w:ascii="黑体" w:hAnsi="黑体" w:eastAsia="黑体" w:cs="黑体"/>
          <w:szCs w:val="21"/>
        </w:rPr>
      </w:pPr>
      <w:r>
        <w:rPr>
          <w:rFonts w:hint="eastAsia" w:ascii="黑体" w:hAnsi="黑体" w:eastAsia="黑体" w:cs="黑体"/>
          <w:szCs w:val="21"/>
        </w:rPr>
        <w:t>3  判定规则</w:t>
      </w:r>
    </w:p>
    <w:p>
      <w:pPr>
        <w:spacing w:before="240" w:beforeLines="100" w:after="240" w:afterLines="100"/>
        <w:rPr>
          <w:rFonts w:ascii="黑体" w:hAnsi="黑体" w:eastAsia="黑体" w:cs="黑体"/>
          <w:szCs w:val="21"/>
        </w:rPr>
      </w:pPr>
      <w:r>
        <w:rPr>
          <w:rFonts w:hint="eastAsia" w:ascii="黑体" w:hAnsi="黑体" w:eastAsia="黑体" w:cs="黑体"/>
          <w:szCs w:val="21"/>
        </w:rPr>
        <w:t>3.1  依据标准</w:t>
      </w:r>
    </w:p>
    <w:p>
      <w:pPr>
        <w:keepNext w:val="0"/>
        <w:keepLines w:val="0"/>
        <w:pageBreakBefore w:val="0"/>
        <w:widowControl w:val="0"/>
        <w:kinsoku/>
        <w:wordWrap/>
        <w:overflowPunct/>
        <w:topLinePunct w:val="0"/>
        <w:autoSpaceDE/>
        <w:autoSpaceDN/>
        <w:bidi w:val="0"/>
        <w:snapToGrid w:val="0"/>
        <w:spacing w:line="240" w:lineRule="auto"/>
        <w:ind w:firstLine="420" w:firstLineChars="200"/>
        <w:textAlignment w:val="auto"/>
        <w:rPr>
          <w:rFonts w:ascii="宋体" w:hAnsi="宋体"/>
          <w:color w:val="000000"/>
          <w:szCs w:val="21"/>
        </w:rPr>
      </w:pPr>
      <w:r>
        <w:rPr>
          <w:rFonts w:hint="eastAsia" w:ascii="宋体" w:hAnsi="宋体"/>
          <w:color w:val="000000"/>
          <w:szCs w:val="21"/>
        </w:rPr>
        <w:t>GB 4066-2017</w:t>
      </w:r>
      <w:r>
        <w:rPr>
          <w:rFonts w:hint="eastAsia" w:ascii="宋体" w:hAnsi="宋体"/>
          <w:color w:val="000000"/>
          <w:szCs w:val="21"/>
          <w:lang w:val="en-US" w:eastAsia="zh-CN"/>
        </w:rPr>
        <w:t xml:space="preserve">  </w:t>
      </w:r>
      <w:r>
        <w:rPr>
          <w:rFonts w:hint="eastAsia" w:ascii="宋体" w:hAnsi="宋体"/>
          <w:color w:val="000000"/>
          <w:szCs w:val="21"/>
        </w:rPr>
        <w:t>干粉灭火剂</w:t>
      </w:r>
    </w:p>
    <w:p>
      <w:pPr>
        <w:pStyle w:val="42"/>
        <w:rPr>
          <w:rFonts w:asciiTheme="minorEastAsia" w:hAnsiTheme="minorEastAsia" w:eastAsiaTheme="minorEastAsia" w:cstheme="minorEastAsia"/>
          <w:szCs w:val="21"/>
        </w:rPr>
      </w:pPr>
      <w:r>
        <w:rPr>
          <w:rFonts w:hint="eastAsia" w:ascii="宋体" w:hAnsi="宋体"/>
          <w:color w:val="000000"/>
          <w:szCs w:val="21"/>
        </w:rPr>
        <w:t>GB 4351.1-2005</w:t>
      </w:r>
      <w:r>
        <w:rPr>
          <w:rFonts w:hint="eastAsia" w:ascii="宋体" w:hAnsi="宋体"/>
          <w:color w:val="000000"/>
          <w:szCs w:val="21"/>
          <w:lang w:val="en-US" w:eastAsia="zh-CN"/>
        </w:rPr>
        <w:t xml:space="preserve">  </w:t>
      </w:r>
      <w:r>
        <w:rPr>
          <w:rFonts w:hint="eastAsia" w:ascii="宋体" w:hAnsi="宋体"/>
          <w:color w:val="000000"/>
          <w:szCs w:val="21"/>
        </w:rPr>
        <w:t>手提式灭火器</w:t>
      </w:r>
      <w:r>
        <w:rPr>
          <w:rFonts w:hint="eastAsia" w:ascii="宋体" w:hAnsi="宋体"/>
          <w:color w:val="000000"/>
          <w:szCs w:val="21"/>
          <w:lang w:val="en-US" w:eastAsia="zh-CN"/>
        </w:rPr>
        <w:t xml:space="preserve">  </w:t>
      </w:r>
      <w:r>
        <w:rPr>
          <w:rFonts w:hint="eastAsia" w:ascii="宋体" w:hAnsi="宋体"/>
          <w:color w:val="000000"/>
          <w:szCs w:val="21"/>
        </w:rPr>
        <w:t>第 1 部分：性能和结构要求</w:t>
      </w:r>
    </w:p>
    <w:p>
      <w:pPr>
        <w:spacing w:before="240" w:beforeLines="100" w:after="240" w:afterLines="100"/>
        <w:outlineLvl w:val="0"/>
        <w:rPr>
          <w:rFonts w:ascii="黑体" w:hAnsi="黑体" w:eastAsia="黑体" w:cs="黑体"/>
          <w:szCs w:val="21"/>
        </w:rPr>
      </w:pPr>
      <w:r>
        <w:rPr>
          <w:rFonts w:hint="eastAsia" w:ascii="黑体" w:hAnsi="黑体" w:eastAsia="黑体" w:cs="黑体"/>
          <w:szCs w:val="21"/>
        </w:rPr>
        <w:t>3.2  判定原则</w:t>
      </w:r>
    </w:p>
    <w:p>
      <w:pPr>
        <w:pStyle w:val="2"/>
        <w:autoSpaceDE w:val="0"/>
        <w:autoSpaceDN w:val="0"/>
        <w:ind w:firstLine="420" w:firstLineChars="200"/>
        <w:jc w:val="left"/>
        <w:rPr>
          <w:rFonts w:ascii="Calibri" w:hAnsi="Calibri" w:cs="Times New Roman"/>
          <w:sz w:val="21"/>
          <w:szCs w:val="21"/>
          <w:lang w:val="en-US" w:bidi="ar-SA"/>
        </w:rPr>
      </w:pPr>
      <w:r>
        <w:rPr>
          <w:rFonts w:hint="eastAsia" w:ascii="Calibri" w:hAnsi="Calibri" w:cs="Times New Roman"/>
          <w:sz w:val="21"/>
          <w:szCs w:val="21"/>
          <w:lang w:val="en-US" w:bidi="ar-SA"/>
        </w:rPr>
        <w:t>经检验，检验项目全部合格，判定为被抽查产品所检项目未发现不合格；检验项目中任一项或一项以上不合格，判定为被抽查产品不合格。</w:t>
      </w:r>
    </w:p>
    <w:p>
      <w:pPr>
        <w:pStyle w:val="2"/>
        <w:autoSpaceDE w:val="0"/>
        <w:autoSpaceDN w:val="0"/>
        <w:ind w:firstLine="420" w:firstLineChars="200"/>
        <w:jc w:val="left"/>
        <w:rPr>
          <w:rFonts w:ascii="Calibri" w:hAnsi="Calibri" w:cs="Times New Roman"/>
          <w:sz w:val="21"/>
          <w:szCs w:val="21"/>
          <w:lang w:val="en-US" w:bidi="ar-SA"/>
        </w:rPr>
      </w:pPr>
      <w:r>
        <w:rPr>
          <w:rFonts w:hint="eastAsia" w:ascii="Calibri" w:hAnsi="Calibri" w:cs="Times New Roman"/>
          <w:sz w:val="21"/>
          <w:szCs w:val="21"/>
          <w:lang w:val="en-US" w:bidi="ar-SA"/>
        </w:rPr>
        <w:t>若被检产品明示的质量要求高于本细则中检验项目依据的标准要求时，应按被检产品明示的质量要求判定。</w:t>
      </w:r>
    </w:p>
    <w:p>
      <w:pPr>
        <w:pStyle w:val="2"/>
        <w:autoSpaceDE w:val="0"/>
        <w:autoSpaceDN w:val="0"/>
        <w:ind w:firstLine="420" w:firstLineChars="200"/>
        <w:jc w:val="left"/>
        <w:rPr>
          <w:rFonts w:ascii="Calibri" w:hAnsi="Calibri" w:cs="Times New Roman"/>
          <w:sz w:val="21"/>
          <w:szCs w:val="21"/>
          <w:lang w:val="en-US" w:bidi="ar-SA"/>
        </w:rPr>
      </w:pPr>
      <w:r>
        <w:rPr>
          <w:rFonts w:hint="eastAsia" w:ascii="Calibri" w:hAnsi="Calibri" w:cs="Times New Roman"/>
          <w:sz w:val="21"/>
          <w:szCs w:val="21"/>
          <w:lang w:val="en-US" w:bidi="ar-SA"/>
        </w:rPr>
        <w:t>若被检产品明示的质量要求低于本细则中检验项目依据的强制性标准要求时，应按照强制性标准要求判定。</w:t>
      </w:r>
    </w:p>
    <w:p>
      <w:pPr>
        <w:pStyle w:val="2"/>
        <w:autoSpaceDE w:val="0"/>
        <w:autoSpaceDN w:val="0"/>
        <w:ind w:firstLine="420" w:firstLineChars="200"/>
        <w:jc w:val="left"/>
        <w:rPr>
          <w:rFonts w:ascii="Calibri" w:hAnsi="Calibri" w:cs="Times New Roman"/>
          <w:sz w:val="21"/>
          <w:szCs w:val="21"/>
          <w:lang w:val="en-US" w:bidi="ar-SA"/>
        </w:rPr>
      </w:pPr>
      <w:r>
        <w:rPr>
          <w:rFonts w:hint="eastAsia" w:ascii="Calibri" w:hAnsi="Calibri" w:cs="Times New Roman"/>
          <w:sz w:val="21"/>
          <w:szCs w:val="21"/>
          <w:lang w:val="en-US" w:bidi="ar-SA"/>
        </w:rPr>
        <w:t>若被检产品明示的质量要求低于或包含本细则中检验项目依据的推荐性标准要求时，应以被检产品明示的质量要求判定。但应在检验报告备注中进行说明。</w:t>
      </w:r>
    </w:p>
    <w:p>
      <w:pPr>
        <w:pStyle w:val="2"/>
        <w:autoSpaceDE w:val="0"/>
        <w:autoSpaceDN w:val="0"/>
        <w:ind w:firstLine="420" w:firstLineChars="200"/>
        <w:jc w:val="left"/>
        <w:rPr>
          <w:rFonts w:ascii="Calibri" w:hAnsi="Calibri" w:cs="Times New Roman"/>
          <w:sz w:val="21"/>
          <w:szCs w:val="21"/>
          <w:lang w:val="en-US" w:bidi="ar-SA"/>
        </w:rPr>
      </w:pPr>
      <w:r>
        <w:rPr>
          <w:rFonts w:hint="eastAsia" w:ascii="Calibri" w:hAnsi="Calibri" w:cs="Times New Roman"/>
          <w:sz w:val="21"/>
          <w:szCs w:val="21"/>
          <w:lang w:val="en-US" w:bidi="ar-SA"/>
        </w:rPr>
        <w:t>若被检产品明示的质量要求缺少本细则中检验项目依据的强制性标准要求时，应按照强制性标准要求判定。</w:t>
      </w:r>
    </w:p>
    <w:p>
      <w:pPr>
        <w:pStyle w:val="2"/>
        <w:autoSpaceDE w:val="0"/>
        <w:autoSpaceDN w:val="0"/>
        <w:ind w:firstLine="420" w:firstLineChars="200"/>
        <w:jc w:val="left"/>
        <w:rPr>
          <w:rFonts w:asciiTheme="majorEastAsia" w:hAnsiTheme="majorEastAsia" w:eastAsiaTheme="majorEastAsia"/>
          <w:kern w:val="0"/>
          <w:sz w:val="21"/>
          <w:szCs w:val="21"/>
        </w:rPr>
      </w:pPr>
      <w:r>
        <w:rPr>
          <w:rFonts w:hint="eastAsia" w:ascii="Calibri" w:hAnsi="Calibri" w:cs="Times New Roman"/>
          <w:sz w:val="21"/>
          <w:szCs w:val="21"/>
          <w:lang w:val="en-US" w:bidi="ar-SA"/>
        </w:rPr>
        <w:t>若被检产品明示的质量要求缺少本细则中检验项目依据的推荐性标准要求时，该项目不参与判定。但应在检验报告备注中进行说明。</w:t>
      </w:r>
    </w:p>
    <w:p>
      <w:pPr>
        <w:rPr>
          <w:rFonts w:asciiTheme="majorEastAsia" w:hAnsiTheme="majorEastAsia" w:eastAsiaTheme="majorEastAsia"/>
          <w:kern w:val="0"/>
          <w:szCs w:val="21"/>
        </w:rPr>
      </w:pPr>
    </w:p>
    <w:p>
      <w:pPr>
        <w:pStyle w:val="2"/>
        <w:rPr>
          <w:rFonts w:asciiTheme="majorEastAsia" w:hAnsiTheme="majorEastAsia" w:eastAsiaTheme="majorEastAsia"/>
          <w:kern w:val="0"/>
          <w:sz w:val="21"/>
          <w:szCs w:val="21"/>
        </w:rPr>
      </w:pPr>
    </w:p>
    <w:p>
      <w:pPr>
        <w:rPr>
          <w:rFonts w:asciiTheme="majorEastAsia" w:hAnsiTheme="majorEastAsia" w:eastAsiaTheme="majorEastAsia"/>
          <w:kern w:val="0"/>
          <w:szCs w:val="21"/>
        </w:rPr>
      </w:pPr>
    </w:p>
    <w:p>
      <w:pPr>
        <w:pStyle w:val="2"/>
        <w:rPr>
          <w:rFonts w:asciiTheme="majorEastAsia" w:hAnsiTheme="majorEastAsia" w:eastAsiaTheme="majorEastAsia"/>
          <w:kern w:val="0"/>
          <w:sz w:val="21"/>
          <w:szCs w:val="21"/>
        </w:rPr>
      </w:pPr>
    </w:p>
    <w:p>
      <w:pPr>
        <w:rPr>
          <w:rFonts w:asciiTheme="majorEastAsia" w:hAnsiTheme="majorEastAsia" w:eastAsiaTheme="majorEastAsia"/>
          <w:kern w:val="0"/>
          <w:szCs w:val="21"/>
        </w:rPr>
      </w:pPr>
    </w:p>
    <w:p>
      <w:pPr>
        <w:pStyle w:val="2"/>
        <w:rPr>
          <w:rFonts w:asciiTheme="majorEastAsia" w:hAnsiTheme="majorEastAsia" w:eastAsiaTheme="majorEastAsia"/>
          <w:kern w:val="0"/>
          <w:sz w:val="21"/>
          <w:szCs w:val="21"/>
        </w:rPr>
      </w:pPr>
    </w:p>
    <w:p>
      <w:pPr>
        <w:rPr>
          <w:rFonts w:asciiTheme="majorEastAsia" w:hAnsiTheme="majorEastAsia" w:eastAsiaTheme="majorEastAsia"/>
          <w:kern w:val="0"/>
          <w:szCs w:val="21"/>
        </w:rPr>
      </w:pPr>
    </w:p>
    <w:p>
      <w:pPr>
        <w:pStyle w:val="2"/>
        <w:rPr>
          <w:rFonts w:asciiTheme="majorEastAsia" w:hAnsiTheme="majorEastAsia" w:eastAsiaTheme="majorEastAsia"/>
          <w:kern w:val="0"/>
          <w:sz w:val="21"/>
          <w:szCs w:val="21"/>
        </w:rPr>
      </w:pPr>
    </w:p>
    <w:p>
      <w:pPr>
        <w:rPr>
          <w:rFonts w:asciiTheme="majorEastAsia" w:hAnsiTheme="majorEastAsia" w:eastAsiaTheme="majorEastAsia"/>
          <w:kern w:val="0"/>
          <w:szCs w:val="21"/>
        </w:rPr>
      </w:pPr>
    </w:p>
    <w:p>
      <w:pPr>
        <w:pStyle w:val="2"/>
        <w:rPr>
          <w:rFonts w:asciiTheme="majorEastAsia" w:hAnsiTheme="majorEastAsia" w:eastAsiaTheme="majorEastAsia"/>
          <w:kern w:val="0"/>
          <w:sz w:val="21"/>
          <w:szCs w:val="21"/>
        </w:rPr>
      </w:pPr>
    </w:p>
    <w:p>
      <w:pPr>
        <w:rPr>
          <w:rFonts w:asciiTheme="majorEastAsia" w:hAnsiTheme="majorEastAsia" w:eastAsiaTheme="majorEastAsia"/>
          <w:kern w:val="0"/>
          <w:szCs w:val="21"/>
        </w:rPr>
      </w:pPr>
    </w:p>
    <w:p>
      <w:pPr>
        <w:pStyle w:val="2"/>
        <w:rPr>
          <w:rFonts w:asciiTheme="majorEastAsia" w:hAnsiTheme="majorEastAsia" w:eastAsiaTheme="majorEastAsia"/>
          <w:kern w:val="0"/>
          <w:sz w:val="21"/>
          <w:szCs w:val="21"/>
        </w:rPr>
      </w:pPr>
    </w:p>
    <w:p>
      <w:pPr>
        <w:rPr>
          <w:rFonts w:asciiTheme="majorEastAsia" w:hAnsiTheme="majorEastAsia" w:eastAsiaTheme="majorEastAsia"/>
          <w:kern w:val="0"/>
          <w:szCs w:val="21"/>
        </w:rPr>
      </w:pPr>
    </w:p>
    <w:p>
      <w:pPr>
        <w:pStyle w:val="2"/>
        <w:rPr>
          <w:rFonts w:asciiTheme="majorEastAsia" w:hAnsiTheme="majorEastAsia" w:eastAsiaTheme="majorEastAsia"/>
          <w:kern w:val="0"/>
          <w:sz w:val="21"/>
          <w:szCs w:val="21"/>
        </w:rPr>
      </w:pPr>
    </w:p>
    <w:p>
      <w:pPr>
        <w:rPr>
          <w:rFonts w:asciiTheme="majorEastAsia" w:hAnsiTheme="majorEastAsia" w:eastAsiaTheme="majorEastAsia"/>
          <w:kern w:val="0"/>
          <w:szCs w:val="21"/>
        </w:rPr>
      </w:pPr>
    </w:p>
    <w:p>
      <w:pPr>
        <w:pStyle w:val="2"/>
        <w:rPr>
          <w:rFonts w:asciiTheme="majorEastAsia" w:hAnsiTheme="majorEastAsia" w:eastAsiaTheme="majorEastAsia"/>
          <w:kern w:val="0"/>
          <w:sz w:val="21"/>
          <w:szCs w:val="21"/>
        </w:rPr>
      </w:pPr>
    </w:p>
    <w:p>
      <w:pPr>
        <w:rPr>
          <w:rFonts w:asciiTheme="majorEastAsia" w:hAnsiTheme="majorEastAsia" w:eastAsiaTheme="majorEastAsia"/>
          <w:kern w:val="0"/>
          <w:szCs w:val="21"/>
        </w:rPr>
      </w:pPr>
    </w:p>
    <w:p>
      <w:pPr>
        <w:pStyle w:val="2"/>
        <w:rPr>
          <w:rFonts w:asciiTheme="majorEastAsia" w:hAnsiTheme="majorEastAsia" w:eastAsiaTheme="majorEastAsia"/>
          <w:kern w:val="0"/>
          <w:sz w:val="21"/>
          <w:szCs w:val="21"/>
        </w:rPr>
      </w:pPr>
    </w:p>
    <w:p>
      <w:pPr>
        <w:rPr>
          <w:rFonts w:asciiTheme="majorEastAsia" w:hAnsiTheme="majorEastAsia" w:eastAsiaTheme="majorEastAsia"/>
          <w:kern w:val="0"/>
          <w:szCs w:val="21"/>
        </w:rPr>
      </w:pPr>
    </w:p>
    <w:p>
      <w:pPr>
        <w:pStyle w:val="2"/>
        <w:rPr>
          <w:rFonts w:asciiTheme="majorEastAsia" w:hAnsiTheme="majorEastAsia" w:eastAsiaTheme="majorEastAsia"/>
          <w:kern w:val="0"/>
          <w:sz w:val="21"/>
          <w:szCs w:val="21"/>
        </w:rPr>
      </w:pPr>
    </w:p>
    <w:p>
      <w:pPr>
        <w:rPr>
          <w:rFonts w:asciiTheme="majorEastAsia" w:hAnsiTheme="majorEastAsia" w:eastAsiaTheme="majorEastAsia"/>
          <w:kern w:val="0"/>
          <w:szCs w:val="21"/>
        </w:rPr>
      </w:pPr>
    </w:p>
    <w:p>
      <w:pPr>
        <w:pStyle w:val="2"/>
        <w:rPr>
          <w:rFonts w:asciiTheme="majorEastAsia" w:hAnsiTheme="majorEastAsia" w:eastAsiaTheme="majorEastAsia"/>
          <w:kern w:val="0"/>
          <w:sz w:val="21"/>
          <w:szCs w:val="21"/>
        </w:rPr>
      </w:pPr>
    </w:p>
    <w:p>
      <w:pPr>
        <w:rPr>
          <w:rFonts w:asciiTheme="majorEastAsia" w:hAnsiTheme="majorEastAsia" w:eastAsiaTheme="majorEastAsia"/>
          <w:kern w:val="0"/>
          <w:szCs w:val="21"/>
        </w:rPr>
      </w:pPr>
    </w:p>
    <w:p>
      <w:pPr>
        <w:pStyle w:val="2"/>
        <w:rPr>
          <w:rFonts w:asciiTheme="majorEastAsia" w:hAnsiTheme="majorEastAsia" w:eastAsiaTheme="majorEastAsia"/>
          <w:kern w:val="0"/>
          <w:sz w:val="21"/>
          <w:szCs w:val="21"/>
        </w:rPr>
      </w:pPr>
    </w:p>
    <w:p>
      <w:pPr>
        <w:rPr>
          <w:rFonts w:asciiTheme="majorEastAsia" w:hAnsiTheme="majorEastAsia" w:eastAsiaTheme="majorEastAsia"/>
          <w:kern w:val="0"/>
          <w:szCs w:val="21"/>
        </w:rPr>
      </w:pPr>
    </w:p>
    <w:p>
      <w:pPr>
        <w:pStyle w:val="2"/>
        <w:rPr>
          <w:rFonts w:asciiTheme="majorEastAsia" w:hAnsiTheme="majorEastAsia" w:eastAsiaTheme="majorEastAsia"/>
          <w:kern w:val="0"/>
          <w:sz w:val="21"/>
          <w:szCs w:val="21"/>
        </w:rPr>
      </w:pPr>
    </w:p>
    <w:p>
      <w:pPr>
        <w:widowControl/>
        <w:jc w:val="left"/>
        <w:rPr>
          <w:rFonts w:cs="宋体" w:asciiTheme="majorEastAsia" w:hAnsiTheme="majorEastAsia" w:eastAsiaTheme="majorEastAsia"/>
          <w:kern w:val="0"/>
          <w:szCs w:val="21"/>
          <w:lang w:val="zh-CN" w:bidi="zh-CN"/>
        </w:rPr>
      </w:pPr>
    </w:p>
    <w:sectPr>
      <w:headerReference r:id="rId3" w:type="default"/>
      <w:footerReference r:id="rId4" w:type="default"/>
      <w:footerReference r:id="rId5" w:type="even"/>
      <w:pgSz w:w="11910" w:h="16840"/>
      <w:pgMar w:top="1380" w:right="1300" w:bottom="1380" w:left="1300" w:header="0" w:footer="1200" w:gutter="0"/>
      <w:pgNumType w:start="0"/>
      <w:cols w:space="720" w:num="1"/>
      <w:titlePg/>
      <w:docGrid w:linePitch="286"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82863836"/>
    </w:sdtPr>
    <w:sdtContent>
      <w:p>
        <w:pPr>
          <w:pStyle w:val="8"/>
          <w:jc w:val="center"/>
        </w:pPr>
        <w:r>
          <w:fldChar w:fldCharType="begin"/>
        </w:r>
        <w:r>
          <w:instrText xml:space="preserve">PAGE   \* MERGEFORMAT</w:instrText>
        </w:r>
        <w:r>
          <w:fldChar w:fldCharType="separate"/>
        </w:r>
        <w:r>
          <w:rPr>
            <w:lang w:val="zh-CN"/>
          </w:rPr>
          <w:t>1</w:t>
        </w:r>
        <w:r>
          <w:rPr>
            <w:lang w:val="zh-CN"/>
          </w:rPr>
          <w:fldChar w:fldCharType="end"/>
        </w:r>
      </w:p>
    </w:sdtContent>
  </w:sdt>
  <w:p>
    <w:pPr>
      <w:pStyle w:val="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7"/>
      </w:rPr>
    </w:pPr>
    <w:r>
      <w:fldChar w:fldCharType="begin"/>
    </w:r>
    <w:r>
      <w:rPr>
        <w:rStyle w:val="17"/>
      </w:rPr>
      <w:instrText xml:space="preserve">PAGE  </w:instrText>
    </w:r>
    <w:r>
      <w:fldChar w:fldCharType="end"/>
    </w:r>
  </w:p>
  <w:p>
    <w:pPr>
      <w:pStyle w:val="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ZmMjJmZGQwYjM5YjFjZmU2MmRkNTZlY2RiMThmZTcifQ=="/>
  </w:docVars>
  <w:rsids>
    <w:rsidRoot w:val="00FC354F"/>
    <w:rsid w:val="00000719"/>
    <w:rsid w:val="000007F9"/>
    <w:rsid w:val="0000190D"/>
    <w:rsid w:val="000023EB"/>
    <w:rsid w:val="000044F1"/>
    <w:rsid w:val="00006741"/>
    <w:rsid w:val="00006C3E"/>
    <w:rsid w:val="000110B2"/>
    <w:rsid w:val="000122B6"/>
    <w:rsid w:val="00013CA2"/>
    <w:rsid w:val="00014440"/>
    <w:rsid w:val="00017CAF"/>
    <w:rsid w:val="00022EEE"/>
    <w:rsid w:val="0002469B"/>
    <w:rsid w:val="00036E17"/>
    <w:rsid w:val="000416CC"/>
    <w:rsid w:val="00041D60"/>
    <w:rsid w:val="00042B17"/>
    <w:rsid w:val="00043975"/>
    <w:rsid w:val="00045E8C"/>
    <w:rsid w:val="0005221B"/>
    <w:rsid w:val="00056144"/>
    <w:rsid w:val="00057170"/>
    <w:rsid w:val="00061E19"/>
    <w:rsid w:val="000628C1"/>
    <w:rsid w:val="00063D84"/>
    <w:rsid w:val="0006546E"/>
    <w:rsid w:val="000657EB"/>
    <w:rsid w:val="000756E1"/>
    <w:rsid w:val="00076026"/>
    <w:rsid w:val="00080CE1"/>
    <w:rsid w:val="0009011C"/>
    <w:rsid w:val="00093071"/>
    <w:rsid w:val="00096DD9"/>
    <w:rsid w:val="000A2F97"/>
    <w:rsid w:val="000A5149"/>
    <w:rsid w:val="000A5B42"/>
    <w:rsid w:val="000A7683"/>
    <w:rsid w:val="000C0596"/>
    <w:rsid w:val="000C2729"/>
    <w:rsid w:val="000C2BA5"/>
    <w:rsid w:val="000C3C6C"/>
    <w:rsid w:val="000C6767"/>
    <w:rsid w:val="000D34E6"/>
    <w:rsid w:val="000D3ACA"/>
    <w:rsid w:val="000D7BE6"/>
    <w:rsid w:val="000E134C"/>
    <w:rsid w:val="000E4B92"/>
    <w:rsid w:val="000F1267"/>
    <w:rsid w:val="000F1F14"/>
    <w:rsid w:val="00102050"/>
    <w:rsid w:val="001021BD"/>
    <w:rsid w:val="00102A80"/>
    <w:rsid w:val="00106355"/>
    <w:rsid w:val="00107272"/>
    <w:rsid w:val="00110983"/>
    <w:rsid w:val="00113454"/>
    <w:rsid w:val="0011401E"/>
    <w:rsid w:val="00117291"/>
    <w:rsid w:val="00117856"/>
    <w:rsid w:val="001201F8"/>
    <w:rsid w:val="00120293"/>
    <w:rsid w:val="00120889"/>
    <w:rsid w:val="00124046"/>
    <w:rsid w:val="0012489D"/>
    <w:rsid w:val="00124A27"/>
    <w:rsid w:val="00130CA6"/>
    <w:rsid w:val="00132BBD"/>
    <w:rsid w:val="00136AD7"/>
    <w:rsid w:val="001378BE"/>
    <w:rsid w:val="00140224"/>
    <w:rsid w:val="00142309"/>
    <w:rsid w:val="0014412B"/>
    <w:rsid w:val="0014415E"/>
    <w:rsid w:val="001447DE"/>
    <w:rsid w:val="00147035"/>
    <w:rsid w:val="00150973"/>
    <w:rsid w:val="001515A8"/>
    <w:rsid w:val="0015185E"/>
    <w:rsid w:val="00153536"/>
    <w:rsid w:val="0015524F"/>
    <w:rsid w:val="001560D8"/>
    <w:rsid w:val="001577B1"/>
    <w:rsid w:val="00157B83"/>
    <w:rsid w:val="001604BD"/>
    <w:rsid w:val="0016139B"/>
    <w:rsid w:val="00161FD0"/>
    <w:rsid w:val="00163024"/>
    <w:rsid w:val="001641AA"/>
    <w:rsid w:val="001704E0"/>
    <w:rsid w:val="001736BB"/>
    <w:rsid w:val="001743D5"/>
    <w:rsid w:val="00176589"/>
    <w:rsid w:val="001773D9"/>
    <w:rsid w:val="00177E0A"/>
    <w:rsid w:val="00183B83"/>
    <w:rsid w:val="00184E22"/>
    <w:rsid w:val="00186C18"/>
    <w:rsid w:val="00187227"/>
    <w:rsid w:val="00191B6C"/>
    <w:rsid w:val="001A07DD"/>
    <w:rsid w:val="001A0CED"/>
    <w:rsid w:val="001A1433"/>
    <w:rsid w:val="001A60C0"/>
    <w:rsid w:val="001B5D33"/>
    <w:rsid w:val="001B7BF6"/>
    <w:rsid w:val="001B7C7E"/>
    <w:rsid w:val="001B7ED0"/>
    <w:rsid w:val="001C2B40"/>
    <w:rsid w:val="001D05C4"/>
    <w:rsid w:val="001D1C11"/>
    <w:rsid w:val="001D2591"/>
    <w:rsid w:val="001E5D02"/>
    <w:rsid w:val="001F25C7"/>
    <w:rsid w:val="001F2B6C"/>
    <w:rsid w:val="001F2E63"/>
    <w:rsid w:val="001F30A3"/>
    <w:rsid w:val="001F3D29"/>
    <w:rsid w:val="002029BD"/>
    <w:rsid w:val="00204171"/>
    <w:rsid w:val="00205771"/>
    <w:rsid w:val="00210D83"/>
    <w:rsid w:val="00212CC2"/>
    <w:rsid w:val="00213583"/>
    <w:rsid w:val="00214456"/>
    <w:rsid w:val="00214C8C"/>
    <w:rsid w:val="00216965"/>
    <w:rsid w:val="00217329"/>
    <w:rsid w:val="002177EF"/>
    <w:rsid w:val="00221BFC"/>
    <w:rsid w:val="00222018"/>
    <w:rsid w:val="00222AF1"/>
    <w:rsid w:val="00222D0E"/>
    <w:rsid w:val="002231EC"/>
    <w:rsid w:val="00231EDA"/>
    <w:rsid w:val="002359F7"/>
    <w:rsid w:val="002403B8"/>
    <w:rsid w:val="002462FC"/>
    <w:rsid w:val="00251851"/>
    <w:rsid w:val="00252B27"/>
    <w:rsid w:val="00254221"/>
    <w:rsid w:val="00257D27"/>
    <w:rsid w:val="00257EF8"/>
    <w:rsid w:val="00260FED"/>
    <w:rsid w:val="002624DF"/>
    <w:rsid w:val="002625BB"/>
    <w:rsid w:val="00265113"/>
    <w:rsid w:val="00271634"/>
    <w:rsid w:val="00275285"/>
    <w:rsid w:val="002774C0"/>
    <w:rsid w:val="00292341"/>
    <w:rsid w:val="00292D50"/>
    <w:rsid w:val="002957C9"/>
    <w:rsid w:val="002A17F5"/>
    <w:rsid w:val="002A187F"/>
    <w:rsid w:val="002A58BD"/>
    <w:rsid w:val="002B1C26"/>
    <w:rsid w:val="002B4EA8"/>
    <w:rsid w:val="002B6A12"/>
    <w:rsid w:val="002C19A4"/>
    <w:rsid w:val="002C45E9"/>
    <w:rsid w:val="002C4C00"/>
    <w:rsid w:val="002D2513"/>
    <w:rsid w:val="002D506F"/>
    <w:rsid w:val="002D6E1D"/>
    <w:rsid w:val="002E101B"/>
    <w:rsid w:val="002E256F"/>
    <w:rsid w:val="002E25CA"/>
    <w:rsid w:val="002E2CFC"/>
    <w:rsid w:val="002E48E0"/>
    <w:rsid w:val="002F0916"/>
    <w:rsid w:val="002F5EDC"/>
    <w:rsid w:val="002F63A3"/>
    <w:rsid w:val="00300687"/>
    <w:rsid w:val="00300AEB"/>
    <w:rsid w:val="0030293E"/>
    <w:rsid w:val="00302A56"/>
    <w:rsid w:val="0030427C"/>
    <w:rsid w:val="0031035C"/>
    <w:rsid w:val="003149E1"/>
    <w:rsid w:val="00320709"/>
    <w:rsid w:val="00322282"/>
    <w:rsid w:val="00324A48"/>
    <w:rsid w:val="00324ECE"/>
    <w:rsid w:val="003306D3"/>
    <w:rsid w:val="003335B1"/>
    <w:rsid w:val="00343980"/>
    <w:rsid w:val="0034770E"/>
    <w:rsid w:val="00350071"/>
    <w:rsid w:val="003507B4"/>
    <w:rsid w:val="00350C61"/>
    <w:rsid w:val="00351588"/>
    <w:rsid w:val="00357CCF"/>
    <w:rsid w:val="0036425A"/>
    <w:rsid w:val="003725C1"/>
    <w:rsid w:val="00375D4F"/>
    <w:rsid w:val="00383EA3"/>
    <w:rsid w:val="0039165A"/>
    <w:rsid w:val="003934F7"/>
    <w:rsid w:val="0039492B"/>
    <w:rsid w:val="003973A7"/>
    <w:rsid w:val="003A2516"/>
    <w:rsid w:val="003A63A7"/>
    <w:rsid w:val="003A7565"/>
    <w:rsid w:val="003B09A2"/>
    <w:rsid w:val="003B61C3"/>
    <w:rsid w:val="003C0A00"/>
    <w:rsid w:val="003C1586"/>
    <w:rsid w:val="003C184A"/>
    <w:rsid w:val="003C29B5"/>
    <w:rsid w:val="003C2C94"/>
    <w:rsid w:val="003C4A10"/>
    <w:rsid w:val="003C55B6"/>
    <w:rsid w:val="003C7416"/>
    <w:rsid w:val="003D02E4"/>
    <w:rsid w:val="003D6FD9"/>
    <w:rsid w:val="003E44B7"/>
    <w:rsid w:val="003E5C7B"/>
    <w:rsid w:val="003E67E3"/>
    <w:rsid w:val="003E71C1"/>
    <w:rsid w:val="003F1089"/>
    <w:rsid w:val="003F122A"/>
    <w:rsid w:val="003F23CE"/>
    <w:rsid w:val="003F59C9"/>
    <w:rsid w:val="00400CD3"/>
    <w:rsid w:val="00405799"/>
    <w:rsid w:val="00405961"/>
    <w:rsid w:val="004121FF"/>
    <w:rsid w:val="004132A0"/>
    <w:rsid w:val="00414E9C"/>
    <w:rsid w:val="00415D1D"/>
    <w:rsid w:val="00415ED4"/>
    <w:rsid w:val="004166C4"/>
    <w:rsid w:val="004169AD"/>
    <w:rsid w:val="00416E33"/>
    <w:rsid w:val="00417416"/>
    <w:rsid w:val="004176D4"/>
    <w:rsid w:val="00422047"/>
    <w:rsid w:val="004228B8"/>
    <w:rsid w:val="00423180"/>
    <w:rsid w:val="00423CCE"/>
    <w:rsid w:val="00426EF7"/>
    <w:rsid w:val="00427B22"/>
    <w:rsid w:val="0043270F"/>
    <w:rsid w:val="004344D2"/>
    <w:rsid w:val="004365CD"/>
    <w:rsid w:val="00437E8B"/>
    <w:rsid w:val="004401D9"/>
    <w:rsid w:val="00443DFB"/>
    <w:rsid w:val="004453D6"/>
    <w:rsid w:val="00447E6B"/>
    <w:rsid w:val="00460278"/>
    <w:rsid w:val="004613AA"/>
    <w:rsid w:val="00461A4A"/>
    <w:rsid w:val="00465E83"/>
    <w:rsid w:val="0047203C"/>
    <w:rsid w:val="0047296B"/>
    <w:rsid w:val="00472CFF"/>
    <w:rsid w:val="00473BEB"/>
    <w:rsid w:val="00473EE7"/>
    <w:rsid w:val="00474C03"/>
    <w:rsid w:val="00474EF4"/>
    <w:rsid w:val="00475083"/>
    <w:rsid w:val="00482675"/>
    <w:rsid w:val="00483743"/>
    <w:rsid w:val="004842A6"/>
    <w:rsid w:val="00493071"/>
    <w:rsid w:val="00495A77"/>
    <w:rsid w:val="00497ED2"/>
    <w:rsid w:val="004A4411"/>
    <w:rsid w:val="004A5C4E"/>
    <w:rsid w:val="004A5F4C"/>
    <w:rsid w:val="004B17A2"/>
    <w:rsid w:val="004B5F62"/>
    <w:rsid w:val="004B770D"/>
    <w:rsid w:val="004C035D"/>
    <w:rsid w:val="004C26C7"/>
    <w:rsid w:val="004C56AB"/>
    <w:rsid w:val="004C7311"/>
    <w:rsid w:val="004C7539"/>
    <w:rsid w:val="004D0F00"/>
    <w:rsid w:val="004D1C91"/>
    <w:rsid w:val="004D33B5"/>
    <w:rsid w:val="004D7C97"/>
    <w:rsid w:val="004E07C5"/>
    <w:rsid w:val="004E0BCD"/>
    <w:rsid w:val="004E4EDC"/>
    <w:rsid w:val="004E700C"/>
    <w:rsid w:val="004E708F"/>
    <w:rsid w:val="004E74F6"/>
    <w:rsid w:val="004F12ED"/>
    <w:rsid w:val="004F58C5"/>
    <w:rsid w:val="004F6319"/>
    <w:rsid w:val="004F6A09"/>
    <w:rsid w:val="004F7583"/>
    <w:rsid w:val="00501A6F"/>
    <w:rsid w:val="005039DA"/>
    <w:rsid w:val="00507415"/>
    <w:rsid w:val="00511B87"/>
    <w:rsid w:val="00513421"/>
    <w:rsid w:val="0052015B"/>
    <w:rsid w:val="005209B3"/>
    <w:rsid w:val="005217B2"/>
    <w:rsid w:val="00524ACF"/>
    <w:rsid w:val="00525BCA"/>
    <w:rsid w:val="00526B8D"/>
    <w:rsid w:val="00526DCF"/>
    <w:rsid w:val="00527537"/>
    <w:rsid w:val="00530EFA"/>
    <w:rsid w:val="00536C6B"/>
    <w:rsid w:val="005400DF"/>
    <w:rsid w:val="0054613D"/>
    <w:rsid w:val="00547955"/>
    <w:rsid w:val="005506B0"/>
    <w:rsid w:val="00554A95"/>
    <w:rsid w:val="00555836"/>
    <w:rsid w:val="0055668D"/>
    <w:rsid w:val="005638B1"/>
    <w:rsid w:val="00565BC6"/>
    <w:rsid w:val="0056650C"/>
    <w:rsid w:val="00570443"/>
    <w:rsid w:val="00571573"/>
    <w:rsid w:val="005718C2"/>
    <w:rsid w:val="005722A3"/>
    <w:rsid w:val="00572DFB"/>
    <w:rsid w:val="00574082"/>
    <w:rsid w:val="005768E0"/>
    <w:rsid w:val="00581605"/>
    <w:rsid w:val="00581640"/>
    <w:rsid w:val="00582355"/>
    <w:rsid w:val="00587B57"/>
    <w:rsid w:val="00591370"/>
    <w:rsid w:val="00591CDA"/>
    <w:rsid w:val="005925BA"/>
    <w:rsid w:val="00593FBD"/>
    <w:rsid w:val="00595E15"/>
    <w:rsid w:val="005A3E01"/>
    <w:rsid w:val="005A4B4C"/>
    <w:rsid w:val="005A4FFE"/>
    <w:rsid w:val="005A564E"/>
    <w:rsid w:val="005A5CF8"/>
    <w:rsid w:val="005B3548"/>
    <w:rsid w:val="005B4491"/>
    <w:rsid w:val="005B6ABB"/>
    <w:rsid w:val="005C2347"/>
    <w:rsid w:val="005C2A0E"/>
    <w:rsid w:val="005C52BB"/>
    <w:rsid w:val="005C6CE5"/>
    <w:rsid w:val="005D014C"/>
    <w:rsid w:val="005D1263"/>
    <w:rsid w:val="005D17DD"/>
    <w:rsid w:val="005D212C"/>
    <w:rsid w:val="005E2857"/>
    <w:rsid w:val="005E31D8"/>
    <w:rsid w:val="005E388D"/>
    <w:rsid w:val="005F0F64"/>
    <w:rsid w:val="005F1F60"/>
    <w:rsid w:val="00600E14"/>
    <w:rsid w:val="00601C1F"/>
    <w:rsid w:val="00603CA6"/>
    <w:rsid w:val="00603CC7"/>
    <w:rsid w:val="006061AD"/>
    <w:rsid w:val="006062AF"/>
    <w:rsid w:val="00610132"/>
    <w:rsid w:val="00613995"/>
    <w:rsid w:val="0062059A"/>
    <w:rsid w:val="00622692"/>
    <w:rsid w:val="00622A2F"/>
    <w:rsid w:val="00623093"/>
    <w:rsid w:val="00623B0B"/>
    <w:rsid w:val="00623C8A"/>
    <w:rsid w:val="006240E8"/>
    <w:rsid w:val="00625556"/>
    <w:rsid w:val="006316F2"/>
    <w:rsid w:val="00631FDC"/>
    <w:rsid w:val="0063291C"/>
    <w:rsid w:val="00632F05"/>
    <w:rsid w:val="00633C13"/>
    <w:rsid w:val="00634EFC"/>
    <w:rsid w:val="00635B93"/>
    <w:rsid w:val="00635CF1"/>
    <w:rsid w:val="00640242"/>
    <w:rsid w:val="00642FF0"/>
    <w:rsid w:val="00644FE1"/>
    <w:rsid w:val="00645A12"/>
    <w:rsid w:val="006464F3"/>
    <w:rsid w:val="006479BC"/>
    <w:rsid w:val="00647A5C"/>
    <w:rsid w:val="00650E0E"/>
    <w:rsid w:val="00652932"/>
    <w:rsid w:val="006536C2"/>
    <w:rsid w:val="006556D6"/>
    <w:rsid w:val="0065627A"/>
    <w:rsid w:val="0066286F"/>
    <w:rsid w:val="00667667"/>
    <w:rsid w:val="00671BA5"/>
    <w:rsid w:val="00674D5D"/>
    <w:rsid w:val="00675C54"/>
    <w:rsid w:val="006769E3"/>
    <w:rsid w:val="00676F2C"/>
    <w:rsid w:val="00682920"/>
    <w:rsid w:val="00682A97"/>
    <w:rsid w:val="0068407B"/>
    <w:rsid w:val="00692B54"/>
    <w:rsid w:val="00692B78"/>
    <w:rsid w:val="00693818"/>
    <w:rsid w:val="00697961"/>
    <w:rsid w:val="006B0D9B"/>
    <w:rsid w:val="006B14A7"/>
    <w:rsid w:val="006B1AEF"/>
    <w:rsid w:val="006B7A34"/>
    <w:rsid w:val="006C291D"/>
    <w:rsid w:val="006C34D7"/>
    <w:rsid w:val="006C476B"/>
    <w:rsid w:val="006D07E8"/>
    <w:rsid w:val="006D2339"/>
    <w:rsid w:val="006D2B87"/>
    <w:rsid w:val="006D7AC2"/>
    <w:rsid w:val="006E5EC5"/>
    <w:rsid w:val="006F2BA4"/>
    <w:rsid w:val="0070139B"/>
    <w:rsid w:val="00701739"/>
    <w:rsid w:val="007020CF"/>
    <w:rsid w:val="007032ED"/>
    <w:rsid w:val="00711CDB"/>
    <w:rsid w:val="00713BEB"/>
    <w:rsid w:val="0071471A"/>
    <w:rsid w:val="00715FCE"/>
    <w:rsid w:val="0072003D"/>
    <w:rsid w:val="007207D6"/>
    <w:rsid w:val="0072230C"/>
    <w:rsid w:val="0073206B"/>
    <w:rsid w:val="00734361"/>
    <w:rsid w:val="00742220"/>
    <w:rsid w:val="00746F31"/>
    <w:rsid w:val="007511A6"/>
    <w:rsid w:val="007521CA"/>
    <w:rsid w:val="00757DB2"/>
    <w:rsid w:val="00772418"/>
    <w:rsid w:val="00772496"/>
    <w:rsid w:val="00774D87"/>
    <w:rsid w:val="00775387"/>
    <w:rsid w:val="00775C5C"/>
    <w:rsid w:val="0077727E"/>
    <w:rsid w:val="00777C0E"/>
    <w:rsid w:val="00780C33"/>
    <w:rsid w:val="007819BF"/>
    <w:rsid w:val="00782905"/>
    <w:rsid w:val="00782B43"/>
    <w:rsid w:val="007852AC"/>
    <w:rsid w:val="00786484"/>
    <w:rsid w:val="0078670C"/>
    <w:rsid w:val="00790714"/>
    <w:rsid w:val="007919D2"/>
    <w:rsid w:val="00791DC9"/>
    <w:rsid w:val="007951D6"/>
    <w:rsid w:val="00795E82"/>
    <w:rsid w:val="007A2D38"/>
    <w:rsid w:val="007A61D3"/>
    <w:rsid w:val="007B5EB0"/>
    <w:rsid w:val="007C1E39"/>
    <w:rsid w:val="007C2C6F"/>
    <w:rsid w:val="007C3737"/>
    <w:rsid w:val="007C50A6"/>
    <w:rsid w:val="007C6E69"/>
    <w:rsid w:val="007C7E16"/>
    <w:rsid w:val="007E0F97"/>
    <w:rsid w:val="007E4886"/>
    <w:rsid w:val="007E6257"/>
    <w:rsid w:val="007F0C42"/>
    <w:rsid w:val="007F2F1D"/>
    <w:rsid w:val="007F38EC"/>
    <w:rsid w:val="007F570E"/>
    <w:rsid w:val="00802807"/>
    <w:rsid w:val="00802BCB"/>
    <w:rsid w:val="00803B9F"/>
    <w:rsid w:val="00806106"/>
    <w:rsid w:val="00810457"/>
    <w:rsid w:val="008137F1"/>
    <w:rsid w:val="008145F6"/>
    <w:rsid w:val="00816858"/>
    <w:rsid w:val="00821AFA"/>
    <w:rsid w:val="00822596"/>
    <w:rsid w:val="00822F83"/>
    <w:rsid w:val="008250BF"/>
    <w:rsid w:val="0082513F"/>
    <w:rsid w:val="00825B10"/>
    <w:rsid w:val="00826BAC"/>
    <w:rsid w:val="00831043"/>
    <w:rsid w:val="00836B1E"/>
    <w:rsid w:val="00836D07"/>
    <w:rsid w:val="00842120"/>
    <w:rsid w:val="008432C5"/>
    <w:rsid w:val="00850519"/>
    <w:rsid w:val="00850A63"/>
    <w:rsid w:val="00853B7D"/>
    <w:rsid w:val="00855EC1"/>
    <w:rsid w:val="00862BD8"/>
    <w:rsid w:val="008637DA"/>
    <w:rsid w:val="00863F8F"/>
    <w:rsid w:val="00867CA7"/>
    <w:rsid w:val="008726E0"/>
    <w:rsid w:val="008739BB"/>
    <w:rsid w:val="00875360"/>
    <w:rsid w:val="008778C8"/>
    <w:rsid w:val="00877C00"/>
    <w:rsid w:val="008804A2"/>
    <w:rsid w:val="00883527"/>
    <w:rsid w:val="0088587D"/>
    <w:rsid w:val="00893A97"/>
    <w:rsid w:val="00894949"/>
    <w:rsid w:val="00896FEF"/>
    <w:rsid w:val="008A128E"/>
    <w:rsid w:val="008A2A88"/>
    <w:rsid w:val="008A36B9"/>
    <w:rsid w:val="008A5FD5"/>
    <w:rsid w:val="008B13F8"/>
    <w:rsid w:val="008B6750"/>
    <w:rsid w:val="008C0747"/>
    <w:rsid w:val="008C614D"/>
    <w:rsid w:val="008C649C"/>
    <w:rsid w:val="008C67B1"/>
    <w:rsid w:val="008C6E0A"/>
    <w:rsid w:val="008C7A37"/>
    <w:rsid w:val="008D043A"/>
    <w:rsid w:val="008D0BA6"/>
    <w:rsid w:val="008E165A"/>
    <w:rsid w:val="008E33C9"/>
    <w:rsid w:val="008E62E2"/>
    <w:rsid w:val="008F0F7E"/>
    <w:rsid w:val="008F4044"/>
    <w:rsid w:val="008F6BF2"/>
    <w:rsid w:val="008F7BF7"/>
    <w:rsid w:val="0090172A"/>
    <w:rsid w:val="00903E96"/>
    <w:rsid w:val="00910AAD"/>
    <w:rsid w:val="00912156"/>
    <w:rsid w:val="009132B2"/>
    <w:rsid w:val="00914DC0"/>
    <w:rsid w:val="00914F02"/>
    <w:rsid w:val="0091799C"/>
    <w:rsid w:val="0092089C"/>
    <w:rsid w:val="00921431"/>
    <w:rsid w:val="00922ED3"/>
    <w:rsid w:val="00922F14"/>
    <w:rsid w:val="009231AD"/>
    <w:rsid w:val="00923A63"/>
    <w:rsid w:val="00923FAB"/>
    <w:rsid w:val="00925432"/>
    <w:rsid w:val="009275DE"/>
    <w:rsid w:val="00927D32"/>
    <w:rsid w:val="00931A74"/>
    <w:rsid w:val="009339ED"/>
    <w:rsid w:val="00936224"/>
    <w:rsid w:val="00937B07"/>
    <w:rsid w:val="00937C1D"/>
    <w:rsid w:val="0094346D"/>
    <w:rsid w:val="00944025"/>
    <w:rsid w:val="00946121"/>
    <w:rsid w:val="00950E9E"/>
    <w:rsid w:val="00954315"/>
    <w:rsid w:val="00954400"/>
    <w:rsid w:val="00960895"/>
    <w:rsid w:val="00963ACC"/>
    <w:rsid w:val="00963BC7"/>
    <w:rsid w:val="009716B1"/>
    <w:rsid w:val="00973227"/>
    <w:rsid w:val="00976048"/>
    <w:rsid w:val="0098227F"/>
    <w:rsid w:val="00983098"/>
    <w:rsid w:val="00985422"/>
    <w:rsid w:val="009858C0"/>
    <w:rsid w:val="009870ED"/>
    <w:rsid w:val="00987274"/>
    <w:rsid w:val="00990328"/>
    <w:rsid w:val="00990DEF"/>
    <w:rsid w:val="00992501"/>
    <w:rsid w:val="00997982"/>
    <w:rsid w:val="009A2C55"/>
    <w:rsid w:val="009A380B"/>
    <w:rsid w:val="009A551F"/>
    <w:rsid w:val="009A616A"/>
    <w:rsid w:val="009B2E8C"/>
    <w:rsid w:val="009B341C"/>
    <w:rsid w:val="009B7E8F"/>
    <w:rsid w:val="009B7EA7"/>
    <w:rsid w:val="009C5099"/>
    <w:rsid w:val="009C5CE3"/>
    <w:rsid w:val="009C70EC"/>
    <w:rsid w:val="009C7C02"/>
    <w:rsid w:val="009D071A"/>
    <w:rsid w:val="009D296F"/>
    <w:rsid w:val="009D2DB7"/>
    <w:rsid w:val="009E3E9F"/>
    <w:rsid w:val="009E4F93"/>
    <w:rsid w:val="009E5BD7"/>
    <w:rsid w:val="009F221F"/>
    <w:rsid w:val="009F311F"/>
    <w:rsid w:val="009F3E12"/>
    <w:rsid w:val="009F4467"/>
    <w:rsid w:val="009F535D"/>
    <w:rsid w:val="009F5D68"/>
    <w:rsid w:val="00A02856"/>
    <w:rsid w:val="00A06B2E"/>
    <w:rsid w:val="00A07534"/>
    <w:rsid w:val="00A07D3D"/>
    <w:rsid w:val="00A1176F"/>
    <w:rsid w:val="00A149D3"/>
    <w:rsid w:val="00A210F7"/>
    <w:rsid w:val="00A214F2"/>
    <w:rsid w:val="00A21E28"/>
    <w:rsid w:val="00A225AC"/>
    <w:rsid w:val="00A236FB"/>
    <w:rsid w:val="00A23E09"/>
    <w:rsid w:val="00A276BB"/>
    <w:rsid w:val="00A3177C"/>
    <w:rsid w:val="00A31AF3"/>
    <w:rsid w:val="00A3463B"/>
    <w:rsid w:val="00A45D04"/>
    <w:rsid w:val="00A475B2"/>
    <w:rsid w:val="00A47BA2"/>
    <w:rsid w:val="00A53B22"/>
    <w:rsid w:val="00A56B9B"/>
    <w:rsid w:val="00A56BFB"/>
    <w:rsid w:val="00A56DCD"/>
    <w:rsid w:val="00A56FF0"/>
    <w:rsid w:val="00A60565"/>
    <w:rsid w:val="00A60CC4"/>
    <w:rsid w:val="00A61FC5"/>
    <w:rsid w:val="00A6551B"/>
    <w:rsid w:val="00A6655E"/>
    <w:rsid w:val="00A6678C"/>
    <w:rsid w:val="00A7138C"/>
    <w:rsid w:val="00A71419"/>
    <w:rsid w:val="00A72203"/>
    <w:rsid w:val="00A76BDE"/>
    <w:rsid w:val="00A81E30"/>
    <w:rsid w:val="00A82594"/>
    <w:rsid w:val="00A825B9"/>
    <w:rsid w:val="00A83BBA"/>
    <w:rsid w:val="00A90EB0"/>
    <w:rsid w:val="00A922E3"/>
    <w:rsid w:val="00A962BB"/>
    <w:rsid w:val="00AA27BC"/>
    <w:rsid w:val="00AA3887"/>
    <w:rsid w:val="00AB1BD0"/>
    <w:rsid w:val="00AB3F89"/>
    <w:rsid w:val="00AB524C"/>
    <w:rsid w:val="00AB6904"/>
    <w:rsid w:val="00AC1121"/>
    <w:rsid w:val="00AC1639"/>
    <w:rsid w:val="00AC6356"/>
    <w:rsid w:val="00AC6827"/>
    <w:rsid w:val="00AD3C3B"/>
    <w:rsid w:val="00AD4B87"/>
    <w:rsid w:val="00AD6409"/>
    <w:rsid w:val="00AE0699"/>
    <w:rsid w:val="00AE074A"/>
    <w:rsid w:val="00AE14C4"/>
    <w:rsid w:val="00AE353D"/>
    <w:rsid w:val="00AE42D9"/>
    <w:rsid w:val="00AE54E9"/>
    <w:rsid w:val="00AE6C07"/>
    <w:rsid w:val="00AF3D72"/>
    <w:rsid w:val="00AF4B7C"/>
    <w:rsid w:val="00AF4C0C"/>
    <w:rsid w:val="00AF72A3"/>
    <w:rsid w:val="00AF7A6C"/>
    <w:rsid w:val="00B00B1D"/>
    <w:rsid w:val="00B03920"/>
    <w:rsid w:val="00B13300"/>
    <w:rsid w:val="00B176E9"/>
    <w:rsid w:val="00B223D5"/>
    <w:rsid w:val="00B23382"/>
    <w:rsid w:val="00B242A5"/>
    <w:rsid w:val="00B309FE"/>
    <w:rsid w:val="00B30B31"/>
    <w:rsid w:val="00B31881"/>
    <w:rsid w:val="00B32C26"/>
    <w:rsid w:val="00B335BE"/>
    <w:rsid w:val="00B348E7"/>
    <w:rsid w:val="00B37020"/>
    <w:rsid w:val="00B37820"/>
    <w:rsid w:val="00B410BF"/>
    <w:rsid w:val="00B4120C"/>
    <w:rsid w:val="00B42B1A"/>
    <w:rsid w:val="00B42B23"/>
    <w:rsid w:val="00B43F04"/>
    <w:rsid w:val="00B44D33"/>
    <w:rsid w:val="00B45621"/>
    <w:rsid w:val="00B45FEA"/>
    <w:rsid w:val="00B55240"/>
    <w:rsid w:val="00B56481"/>
    <w:rsid w:val="00B57CF1"/>
    <w:rsid w:val="00B67766"/>
    <w:rsid w:val="00B67C8E"/>
    <w:rsid w:val="00B71861"/>
    <w:rsid w:val="00B77E94"/>
    <w:rsid w:val="00B84910"/>
    <w:rsid w:val="00B84CB4"/>
    <w:rsid w:val="00B85956"/>
    <w:rsid w:val="00B859E0"/>
    <w:rsid w:val="00B87B97"/>
    <w:rsid w:val="00B91B97"/>
    <w:rsid w:val="00B96FAD"/>
    <w:rsid w:val="00BA148F"/>
    <w:rsid w:val="00BA18A9"/>
    <w:rsid w:val="00BA25DD"/>
    <w:rsid w:val="00BB2D6A"/>
    <w:rsid w:val="00BB6301"/>
    <w:rsid w:val="00BC12B6"/>
    <w:rsid w:val="00BC1CBD"/>
    <w:rsid w:val="00BC4A0E"/>
    <w:rsid w:val="00BC4B5F"/>
    <w:rsid w:val="00BC6ADC"/>
    <w:rsid w:val="00BC7359"/>
    <w:rsid w:val="00BE02FE"/>
    <w:rsid w:val="00BE3DF4"/>
    <w:rsid w:val="00BE424B"/>
    <w:rsid w:val="00BE55B5"/>
    <w:rsid w:val="00BF0275"/>
    <w:rsid w:val="00BF0A49"/>
    <w:rsid w:val="00BF4D5E"/>
    <w:rsid w:val="00BF58A2"/>
    <w:rsid w:val="00C03E3F"/>
    <w:rsid w:val="00C048B6"/>
    <w:rsid w:val="00C106F6"/>
    <w:rsid w:val="00C132EE"/>
    <w:rsid w:val="00C16317"/>
    <w:rsid w:val="00C16730"/>
    <w:rsid w:val="00C21B0D"/>
    <w:rsid w:val="00C227F3"/>
    <w:rsid w:val="00C23FB4"/>
    <w:rsid w:val="00C25941"/>
    <w:rsid w:val="00C30440"/>
    <w:rsid w:val="00C308F9"/>
    <w:rsid w:val="00C30A60"/>
    <w:rsid w:val="00C30C6A"/>
    <w:rsid w:val="00C32E89"/>
    <w:rsid w:val="00C36502"/>
    <w:rsid w:val="00C4107C"/>
    <w:rsid w:val="00C4156B"/>
    <w:rsid w:val="00C429B3"/>
    <w:rsid w:val="00C444FA"/>
    <w:rsid w:val="00C52AFB"/>
    <w:rsid w:val="00C55DCC"/>
    <w:rsid w:val="00C61A1D"/>
    <w:rsid w:val="00C628A7"/>
    <w:rsid w:val="00C62DCC"/>
    <w:rsid w:val="00C66F50"/>
    <w:rsid w:val="00C73C1B"/>
    <w:rsid w:val="00C75FC6"/>
    <w:rsid w:val="00C76AB4"/>
    <w:rsid w:val="00C81887"/>
    <w:rsid w:val="00C81C63"/>
    <w:rsid w:val="00C9003C"/>
    <w:rsid w:val="00C90ADA"/>
    <w:rsid w:val="00C91AE4"/>
    <w:rsid w:val="00C96194"/>
    <w:rsid w:val="00C968D7"/>
    <w:rsid w:val="00C975F8"/>
    <w:rsid w:val="00CA0141"/>
    <w:rsid w:val="00CA4F2B"/>
    <w:rsid w:val="00CB02AB"/>
    <w:rsid w:val="00CB3DDF"/>
    <w:rsid w:val="00CB6626"/>
    <w:rsid w:val="00CB77FC"/>
    <w:rsid w:val="00CC10F5"/>
    <w:rsid w:val="00CC7B92"/>
    <w:rsid w:val="00CD09F1"/>
    <w:rsid w:val="00CD1346"/>
    <w:rsid w:val="00CD52F0"/>
    <w:rsid w:val="00CD63EC"/>
    <w:rsid w:val="00CE0903"/>
    <w:rsid w:val="00CE1A33"/>
    <w:rsid w:val="00CE3438"/>
    <w:rsid w:val="00CE4802"/>
    <w:rsid w:val="00CF0FC4"/>
    <w:rsid w:val="00CF1A15"/>
    <w:rsid w:val="00CF32E6"/>
    <w:rsid w:val="00CF4EDC"/>
    <w:rsid w:val="00CF5AF0"/>
    <w:rsid w:val="00CF6938"/>
    <w:rsid w:val="00CF6F40"/>
    <w:rsid w:val="00D002DB"/>
    <w:rsid w:val="00D0152A"/>
    <w:rsid w:val="00D02787"/>
    <w:rsid w:val="00D0402F"/>
    <w:rsid w:val="00D04268"/>
    <w:rsid w:val="00D16941"/>
    <w:rsid w:val="00D16DB4"/>
    <w:rsid w:val="00D21CA7"/>
    <w:rsid w:val="00D22D9D"/>
    <w:rsid w:val="00D30431"/>
    <w:rsid w:val="00D36951"/>
    <w:rsid w:val="00D444C3"/>
    <w:rsid w:val="00D46879"/>
    <w:rsid w:val="00D47429"/>
    <w:rsid w:val="00D516D1"/>
    <w:rsid w:val="00D51B08"/>
    <w:rsid w:val="00D554B7"/>
    <w:rsid w:val="00D618E6"/>
    <w:rsid w:val="00D620ED"/>
    <w:rsid w:val="00D631A1"/>
    <w:rsid w:val="00D63C61"/>
    <w:rsid w:val="00D6416E"/>
    <w:rsid w:val="00D65772"/>
    <w:rsid w:val="00D66476"/>
    <w:rsid w:val="00D714D7"/>
    <w:rsid w:val="00D73345"/>
    <w:rsid w:val="00D76AC9"/>
    <w:rsid w:val="00D77A4E"/>
    <w:rsid w:val="00D80F49"/>
    <w:rsid w:val="00D85701"/>
    <w:rsid w:val="00D86314"/>
    <w:rsid w:val="00D90A8C"/>
    <w:rsid w:val="00D94386"/>
    <w:rsid w:val="00D94DDC"/>
    <w:rsid w:val="00D9756B"/>
    <w:rsid w:val="00D9776B"/>
    <w:rsid w:val="00D97C6C"/>
    <w:rsid w:val="00D97EBB"/>
    <w:rsid w:val="00DA288E"/>
    <w:rsid w:val="00DA4DA5"/>
    <w:rsid w:val="00DA5651"/>
    <w:rsid w:val="00DB02A7"/>
    <w:rsid w:val="00DB3148"/>
    <w:rsid w:val="00DB4F87"/>
    <w:rsid w:val="00DB76B1"/>
    <w:rsid w:val="00DC0C3C"/>
    <w:rsid w:val="00DC5A2B"/>
    <w:rsid w:val="00DD345D"/>
    <w:rsid w:val="00DE4284"/>
    <w:rsid w:val="00DE5409"/>
    <w:rsid w:val="00DE5EA4"/>
    <w:rsid w:val="00DF00EC"/>
    <w:rsid w:val="00DF1D98"/>
    <w:rsid w:val="00DF390F"/>
    <w:rsid w:val="00DF4509"/>
    <w:rsid w:val="00DF6228"/>
    <w:rsid w:val="00DF72DF"/>
    <w:rsid w:val="00E0035A"/>
    <w:rsid w:val="00E045B8"/>
    <w:rsid w:val="00E122DD"/>
    <w:rsid w:val="00E206D5"/>
    <w:rsid w:val="00E2073B"/>
    <w:rsid w:val="00E20E77"/>
    <w:rsid w:val="00E2179C"/>
    <w:rsid w:val="00E23132"/>
    <w:rsid w:val="00E2711E"/>
    <w:rsid w:val="00E275AE"/>
    <w:rsid w:val="00E305A0"/>
    <w:rsid w:val="00E31138"/>
    <w:rsid w:val="00E317CB"/>
    <w:rsid w:val="00E326EC"/>
    <w:rsid w:val="00E364ED"/>
    <w:rsid w:val="00E42FC0"/>
    <w:rsid w:val="00E47A9A"/>
    <w:rsid w:val="00E50C36"/>
    <w:rsid w:val="00E51C21"/>
    <w:rsid w:val="00E552F9"/>
    <w:rsid w:val="00E66B66"/>
    <w:rsid w:val="00E671B5"/>
    <w:rsid w:val="00E67FFC"/>
    <w:rsid w:val="00E70200"/>
    <w:rsid w:val="00E70213"/>
    <w:rsid w:val="00E84DD7"/>
    <w:rsid w:val="00E85D9B"/>
    <w:rsid w:val="00E869B2"/>
    <w:rsid w:val="00E8762C"/>
    <w:rsid w:val="00E9049D"/>
    <w:rsid w:val="00E92C3A"/>
    <w:rsid w:val="00E92D40"/>
    <w:rsid w:val="00E94E64"/>
    <w:rsid w:val="00E977A1"/>
    <w:rsid w:val="00EA038D"/>
    <w:rsid w:val="00EA35E0"/>
    <w:rsid w:val="00EA4BDC"/>
    <w:rsid w:val="00EA56BE"/>
    <w:rsid w:val="00EA7F18"/>
    <w:rsid w:val="00EB0AC4"/>
    <w:rsid w:val="00EB0B1C"/>
    <w:rsid w:val="00EB4335"/>
    <w:rsid w:val="00EB73A2"/>
    <w:rsid w:val="00EC0ED4"/>
    <w:rsid w:val="00EC1D04"/>
    <w:rsid w:val="00EC369B"/>
    <w:rsid w:val="00EC37DE"/>
    <w:rsid w:val="00EC7190"/>
    <w:rsid w:val="00EC7F6C"/>
    <w:rsid w:val="00ED1C35"/>
    <w:rsid w:val="00ED28E6"/>
    <w:rsid w:val="00ED349E"/>
    <w:rsid w:val="00ED6C33"/>
    <w:rsid w:val="00EE097D"/>
    <w:rsid w:val="00EE4CFA"/>
    <w:rsid w:val="00EE7E8F"/>
    <w:rsid w:val="00EF0A09"/>
    <w:rsid w:val="00EF0CD4"/>
    <w:rsid w:val="00EF1B18"/>
    <w:rsid w:val="00EF6F2F"/>
    <w:rsid w:val="00F00A97"/>
    <w:rsid w:val="00F00F00"/>
    <w:rsid w:val="00F04DBA"/>
    <w:rsid w:val="00F062D9"/>
    <w:rsid w:val="00F10FEB"/>
    <w:rsid w:val="00F11770"/>
    <w:rsid w:val="00F1215C"/>
    <w:rsid w:val="00F215F6"/>
    <w:rsid w:val="00F21965"/>
    <w:rsid w:val="00F24ECD"/>
    <w:rsid w:val="00F3736C"/>
    <w:rsid w:val="00F438EE"/>
    <w:rsid w:val="00F44355"/>
    <w:rsid w:val="00F45230"/>
    <w:rsid w:val="00F4646C"/>
    <w:rsid w:val="00F46A07"/>
    <w:rsid w:val="00F50970"/>
    <w:rsid w:val="00F52783"/>
    <w:rsid w:val="00F53D22"/>
    <w:rsid w:val="00F550B6"/>
    <w:rsid w:val="00F56C4A"/>
    <w:rsid w:val="00F64337"/>
    <w:rsid w:val="00F71BF7"/>
    <w:rsid w:val="00F71FF4"/>
    <w:rsid w:val="00F723C7"/>
    <w:rsid w:val="00F75597"/>
    <w:rsid w:val="00F7714F"/>
    <w:rsid w:val="00F77D24"/>
    <w:rsid w:val="00F80F28"/>
    <w:rsid w:val="00F829D8"/>
    <w:rsid w:val="00F82B0D"/>
    <w:rsid w:val="00F83B5C"/>
    <w:rsid w:val="00F86CDA"/>
    <w:rsid w:val="00F9301E"/>
    <w:rsid w:val="00F936DE"/>
    <w:rsid w:val="00FA402B"/>
    <w:rsid w:val="00FA45F9"/>
    <w:rsid w:val="00FA5254"/>
    <w:rsid w:val="00FA68A7"/>
    <w:rsid w:val="00FB0244"/>
    <w:rsid w:val="00FB24A2"/>
    <w:rsid w:val="00FB27F2"/>
    <w:rsid w:val="00FB363A"/>
    <w:rsid w:val="00FC1B2C"/>
    <w:rsid w:val="00FC354F"/>
    <w:rsid w:val="00FC3EC5"/>
    <w:rsid w:val="00FC743A"/>
    <w:rsid w:val="00FD07B2"/>
    <w:rsid w:val="00FD424B"/>
    <w:rsid w:val="00FE0064"/>
    <w:rsid w:val="00FE087C"/>
    <w:rsid w:val="00FE2C54"/>
    <w:rsid w:val="00FE415B"/>
    <w:rsid w:val="00FE6A75"/>
    <w:rsid w:val="00FE7702"/>
    <w:rsid w:val="00FF0506"/>
    <w:rsid w:val="00FF144F"/>
    <w:rsid w:val="00FF5BC2"/>
    <w:rsid w:val="00FF5DF7"/>
    <w:rsid w:val="014A4B87"/>
    <w:rsid w:val="02581576"/>
    <w:rsid w:val="02746C96"/>
    <w:rsid w:val="02A62291"/>
    <w:rsid w:val="02D52B76"/>
    <w:rsid w:val="02F261A1"/>
    <w:rsid w:val="037E66C4"/>
    <w:rsid w:val="03C63356"/>
    <w:rsid w:val="04B000C1"/>
    <w:rsid w:val="055F0394"/>
    <w:rsid w:val="061E551E"/>
    <w:rsid w:val="06A8004F"/>
    <w:rsid w:val="06B13565"/>
    <w:rsid w:val="07B2792A"/>
    <w:rsid w:val="07C06F75"/>
    <w:rsid w:val="07EE4229"/>
    <w:rsid w:val="09C90B76"/>
    <w:rsid w:val="0B2E449E"/>
    <w:rsid w:val="0C687D3A"/>
    <w:rsid w:val="0C796C68"/>
    <w:rsid w:val="0CED580F"/>
    <w:rsid w:val="0D3047D6"/>
    <w:rsid w:val="0DC30A87"/>
    <w:rsid w:val="0EB84D94"/>
    <w:rsid w:val="0EDB7893"/>
    <w:rsid w:val="0F563291"/>
    <w:rsid w:val="0FBA13E4"/>
    <w:rsid w:val="0FE91FFD"/>
    <w:rsid w:val="0FEF2FC8"/>
    <w:rsid w:val="101C3978"/>
    <w:rsid w:val="10233173"/>
    <w:rsid w:val="102D3FF1"/>
    <w:rsid w:val="10534F35"/>
    <w:rsid w:val="10601641"/>
    <w:rsid w:val="1080050F"/>
    <w:rsid w:val="10B100A6"/>
    <w:rsid w:val="10C07192"/>
    <w:rsid w:val="10C20BDE"/>
    <w:rsid w:val="11684CDB"/>
    <w:rsid w:val="11851EAB"/>
    <w:rsid w:val="12A46D94"/>
    <w:rsid w:val="12C71DBE"/>
    <w:rsid w:val="131C20FB"/>
    <w:rsid w:val="131F0E98"/>
    <w:rsid w:val="133C542E"/>
    <w:rsid w:val="135A77FF"/>
    <w:rsid w:val="139B67D3"/>
    <w:rsid w:val="13E37BAF"/>
    <w:rsid w:val="14075263"/>
    <w:rsid w:val="1491403F"/>
    <w:rsid w:val="151A6491"/>
    <w:rsid w:val="154F0D9D"/>
    <w:rsid w:val="15BE1817"/>
    <w:rsid w:val="167E7BDB"/>
    <w:rsid w:val="18851432"/>
    <w:rsid w:val="19766A09"/>
    <w:rsid w:val="1AAE3547"/>
    <w:rsid w:val="1B535AD4"/>
    <w:rsid w:val="1B551466"/>
    <w:rsid w:val="1BBE2EB9"/>
    <w:rsid w:val="1BD43F79"/>
    <w:rsid w:val="1BFB39CC"/>
    <w:rsid w:val="1C956941"/>
    <w:rsid w:val="1C9714ED"/>
    <w:rsid w:val="1D9900BE"/>
    <w:rsid w:val="1DC16758"/>
    <w:rsid w:val="1E1677A2"/>
    <w:rsid w:val="1E271DF5"/>
    <w:rsid w:val="1E3717C9"/>
    <w:rsid w:val="1E5308FE"/>
    <w:rsid w:val="1F2A2A1C"/>
    <w:rsid w:val="1F8A7B8F"/>
    <w:rsid w:val="1F8D4BB2"/>
    <w:rsid w:val="1F9C2B4E"/>
    <w:rsid w:val="1FAB0A8F"/>
    <w:rsid w:val="20785521"/>
    <w:rsid w:val="20B56069"/>
    <w:rsid w:val="20DE13A7"/>
    <w:rsid w:val="21521B0A"/>
    <w:rsid w:val="21AE51FF"/>
    <w:rsid w:val="21E60555"/>
    <w:rsid w:val="223A4823"/>
    <w:rsid w:val="228A52D3"/>
    <w:rsid w:val="228B5B52"/>
    <w:rsid w:val="23CA6F34"/>
    <w:rsid w:val="24CC57B9"/>
    <w:rsid w:val="252C6E02"/>
    <w:rsid w:val="25407ECB"/>
    <w:rsid w:val="2565008E"/>
    <w:rsid w:val="25C336E3"/>
    <w:rsid w:val="273D67A3"/>
    <w:rsid w:val="27910EB2"/>
    <w:rsid w:val="27BE3171"/>
    <w:rsid w:val="283A10A0"/>
    <w:rsid w:val="28680541"/>
    <w:rsid w:val="287405B8"/>
    <w:rsid w:val="295E7CB2"/>
    <w:rsid w:val="296006A6"/>
    <w:rsid w:val="2965178E"/>
    <w:rsid w:val="29AE7DCC"/>
    <w:rsid w:val="29D96894"/>
    <w:rsid w:val="2A4747F9"/>
    <w:rsid w:val="2A6102A1"/>
    <w:rsid w:val="2B1837A3"/>
    <w:rsid w:val="2B350A02"/>
    <w:rsid w:val="2B875CA1"/>
    <w:rsid w:val="2BB767A3"/>
    <w:rsid w:val="2C272E1D"/>
    <w:rsid w:val="2C617431"/>
    <w:rsid w:val="2CA95D40"/>
    <w:rsid w:val="2CB92784"/>
    <w:rsid w:val="2D2C76B3"/>
    <w:rsid w:val="2E183793"/>
    <w:rsid w:val="2E880B50"/>
    <w:rsid w:val="2F1D60E1"/>
    <w:rsid w:val="2F6F1AD9"/>
    <w:rsid w:val="302A3887"/>
    <w:rsid w:val="304A25C3"/>
    <w:rsid w:val="31956A3A"/>
    <w:rsid w:val="32123AF0"/>
    <w:rsid w:val="327D7604"/>
    <w:rsid w:val="328153CF"/>
    <w:rsid w:val="32FB00D0"/>
    <w:rsid w:val="334C7148"/>
    <w:rsid w:val="335508FD"/>
    <w:rsid w:val="336D5A6D"/>
    <w:rsid w:val="33F424B3"/>
    <w:rsid w:val="34757733"/>
    <w:rsid w:val="349B511E"/>
    <w:rsid w:val="34EE4299"/>
    <w:rsid w:val="358D0F0B"/>
    <w:rsid w:val="359B2D77"/>
    <w:rsid w:val="35C15926"/>
    <w:rsid w:val="35DC44C7"/>
    <w:rsid w:val="36397860"/>
    <w:rsid w:val="365728C4"/>
    <w:rsid w:val="36C03D00"/>
    <w:rsid w:val="37196A5A"/>
    <w:rsid w:val="37F64941"/>
    <w:rsid w:val="386D5023"/>
    <w:rsid w:val="38ED0506"/>
    <w:rsid w:val="38EF21B9"/>
    <w:rsid w:val="38F35875"/>
    <w:rsid w:val="39145827"/>
    <w:rsid w:val="39A93DE8"/>
    <w:rsid w:val="39DC624F"/>
    <w:rsid w:val="39EB7A9F"/>
    <w:rsid w:val="3A0427B3"/>
    <w:rsid w:val="3A200048"/>
    <w:rsid w:val="3A3B7C54"/>
    <w:rsid w:val="3AC76C6D"/>
    <w:rsid w:val="3B40257B"/>
    <w:rsid w:val="3B6C2647"/>
    <w:rsid w:val="3C1B66BA"/>
    <w:rsid w:val="3C3E4B93"/>
    <w:rsid w:val="3C86616E"/>
    <w:rsid w:val="3CCE7B79"/>
    <w:rsid w:val="3CEE2615"/>
    <w:rsid w:val="3D4E0C7E"/>
    <w:rsid w:val="3D590B11"/>
    <w:rsid w:val="3D6820FA"/>
    <w:rsid w:val="3DD668B2"/>
    <w:rsid w:val="3DFE4651"/>
    <w:rsid w:val="3EE43EA5"/>
    <w:rsid w:val="3FA75A2B"/>
    <w:rsid w:val="3FFF9A1B"/>
    <w:rsid w:val="40F87DAF"/>
    <w:rsid w:val="41A75AC2"/>
    <w:rsid w:val="41CE51ED"/>
    <w:rsid w:val="41EB35CB"/>
    <w:rsid w:val="42075BA1"/>
    <w:rsid w:val="42412AD4"/>
    <w:rsid w:val="425A41B6"/>
    <w:rsid w:val="42BB7611"/>
    <w:rsid w:val="43074BCC"/>
    <w:rsid w:val="43140575"/>
    <w:rsid w:val="43D67F21"/>
    <w:rsid w:val="44126254"/>
    <w:rsid w:val="45177CE5"/>
    <w:rsid w:val="45F36B68"/>
    <w:rsid w:val="46BC516A"/>
    <w:rsid w:val="46FD504C"/>
    <w:rsid w:val="47B265C4"/>
    <w:rsid w:val="48414586"/>
    <w:rsid w:val="48531AA1"/>
    <w:rsid w:val="48D04D50"/>
    <w:rsid w:val="48D10CB7"/>
    <w:rsid w:val="48FF24A4"/>
    <w:rsid w:val="49323661"/>
    <w:rsid w:val="49804BB7"/>
    <w:rsid w:val="4A656419"/>
    <w:rsid w:val="4A7B4B54"/>
    <w:rsid w:val="4B275BA1"/>
    <w:rsid w:val="4B667390"/>
    <w:rsid w:val="4B9A1834"/>
    <w:rsid w:val="4BE62CCB"/>
    <w:rsid w:val="4BF53A60"/>
    <w:rsid w:val="4BF80E1C"/>
    <w:rsid w:val="4BFA20DF"/>
    <w:rsid w:val="4C127EE4"/>
    <w:rsid w:val="4C543310"/>
    <w:rsid w:val="4C837946"/>
    <w:rsid w:val="4C8E5946"/>
    <w:rsid w:val="4C983FC5"/>
    <w:rsid w:val="4D101AC5"/>
    <w:rsid w:val="4D247956"/>
    <w:rsid w:val="4ED81852"/>
    <w:rsid w:val="4F1929CD"/>
    <w:rsid w:val="51060B8A"/>
    <w:rsid w:val="51477D68"/>
    <w:rsid w:val="51580C9C"/>
    <w:rsid w:val="52761CFF"/>
    <w:rsid w:val="54212AF2"/>
    <w:rsid w:val="5523289A"/>
    <w:rsid w:val="55434CEA"/>
    <w:rsid w:val="558F52B3"/>
    <w:rsid w:val="558F76F8"/>
    <w:rsid w:val="55C220B3"/>
    <w:rsid w:val="55F80694"/>
    <w:rsid w:val="563A2B8F"/>
    <w:rsid w:val="567946E7"/>
    <w:rsid w:val="56A63783"/>
    <w:rsid w:val="57341653"/>
    <w:rsid w:val="58894631"/>
    <w:rsid w:val="59200BC5"/>
    <w:rsid w:val="59DC70C9"/>
    <w:rsid w:val="5A4F070F"/>
    <w:rsid w:val="5ABB5323"/>
    <w:rsid w:val="5ACE7C24"/>
    <w:rsid w:val="5C21439A"/>
    <w:rsid w:val="5C4C4518"/>
    <w:rsid w:val="5D03488F"/>
    <w:rsid w:val="5D95767D"/>
    <w:rsid w:val="5E301988"/>
    <w:rsid w:val="5E62447C"/>
    <w:rsid w:val="5F0F293B"/>
    <w:rsid w:val="5FCD1D80"/>
    <w:rsid w:val="5FD20632"/>
    <w:rsid w:val="60CD49F2"/>
    <w:rsid w:val="60F0325E"/>
    <w:rsid w:val="61DF52C4"/>
    <w:rsid w:val="625777F7"/>
    <w:rsid w:val="627F5AE8"/>
    <w:rsid w:val="63557BA1"/>
    <w:rsid w:val="64BA0548"/>
    <w:rsid w:val="65541997"/>
    <w:rsid w:val="65AF1697"/>
    <w:rsid w:val="66054FC6"/>
    <w:rsid w:val="669B1308"/>
    <w:rsid w:val="66B20872"/>
    <w:rsid w:val="67087681"/>
    <w:rsid w:val="675432F8"/>
    <w:rsid w:val="679D5DE7"/>
    <w:rsid w:val="67C70F58"/>
    <w:rsid w:val="67DA3E0F"/>
    <w:rsid w:val="67EE44B8"/>
    <w:rsid w:val="684B399B"/>
    <w:rsid w:val="68BA4DF4"/>
    <w:rsid w:val="69C266CE"/>
    <w:rsid w:val="6A280B70"/>
    <w:rsid w:val="6AC9615C"/>
    <w:rsid w:val="6B3C3F87"/>
    <w:rsid w:val="6B5B053C"/>
    <w:rsid w:val="6B5B0B88"/>
    <w:rsid w:val="6B7C3C5B"/>
    <w:rsid w:val="6C061905"/>
    <w:rsid w:val="6C4D15DE"/>
    <w:rsid w:val="6D001DD4"/>
    <w:rsid w:val="6D523237"/>
    <w:rsid w:val="6D80548F"/>
    <w:rsid w:val="6DAC1284"/>
    <w:rsid w:val="6DD64228"/>
    <w:rsid w:val="6E024E0D"/>
    <w:rsid w:val="6E9D42A7"/>
    <w:rsid w:val="6EEF7C7A"/>
    <w:rsid w:val="6F323451"/>
    <w:rsid w:val="6FB62831"/>
    <w:rsid w:val="6FC40B97"/>
    <w:rsid w:val="6FD72CD5"/>
    <w:rsid w:val="70A73F27"/>
    <w:rsid w:val="710C3D09"/>
    <w:rsid w:val="71A566B9"/>
    <w:rsid w:val="71FF1F62"/>
    <w:rsid w:val="72313422"/>
    <w:rsid w:val="72A050D2"/>
    <w:rsid w:val="72D10FAA"/>
    <w:rsid w:val="72EE2B0D"/>
    <w:rsid w:val="733332DC"/>
    <w:rsid w:val="73682E2F"/>
    <w:rsid w:val="736B1AEA"/>
    <w:rsid w:val="7395266B"/>
    <w:rsid w:val="73B41202"/>
    <w:rsid w:val="741905FD"/>
    <w:rsid w:val="74630AE9"/>
    <w:rsid w:val="74A82951"/>
    <w:rsid w:val="74B24B89"/>
    <w:rsid w:val="7514388D"/>
    <w:rsid w:val="75890B21"/>
    <w:rsid w:val="75B502B3"/>
    <w:rsid w:val="765E706D"/>
    <w:rsid w:val="766D5BD7"/>
    <w:rsid w:val="771542E1"/>
    <w:rsid w:val="772FE170"/>
    <w:rsid w:val="77383B2B"/>
    <w:rsid w:val="778F2BB2"/>
    <w:rsid w:val="77966A1C"/>
    <w:rsid w:val="77BF3B22"/>
    <w:rsid w:val="77FC25BC"/>
    <w:rsid w:val="783B77F7"/>
    <w:rsid w:val="78593B29"/>
    <w:rsid w:val="78E35D19"/>
    <w:rsid w:val="792E3A16"/>
    <w:rsid w:val="794D3F5C"/>
    <w:rsid w:val="796A7CFE"/>
    <w:rsid w:val="79760CE8"/>
    <w:rsid w:val="7A166BF5"/>
    <w:rsid w:val="7A4E6271"/>
    <w:rsid w:val="7AC965FA"/>
    <w:rsid w:val="7AD81021"/>
    <w:rsid w:val="7AEF219A"/>
    <w:rsid w:val="7AF43773"/>
    <w:rsid w:val="7B23395F"/>
    <w:rsid w:val="7B6D88C6"/>
    <w:rsid w:val="7CDB590F"/>
    <w:rsid w:val="7CEA57C3"/>
    <w:rsid w:val="7D0163B1"/>
    <w:rsid w:val="7D856578"/>
    <w:rsid w:val="7E130E65"/>
    <w:rsid w:val="7E82404B"/>
    <w:rsid w:val="7E9FA170"/>
    <w:rsid w:val="7EB61866"/>
    <w:rsid w:val="7ECD36F3"/>
    <w:rsid w:val="7FDE7DF4"/>
    <w:rsid w:val="7FEE0EFE"/>
    <w:rsid w:val="7FF7578E"/>
    <w:rsid w:val="7FFB5C62"/>
    <w:rsid w:val="9C67622A"/>
    <w:rsid w:val="BFE39C7C"/>
    <w:rsid w:val="FB9E0617"/>
    <w:rsid w:val="FF3F71FC"/>
    <w:rsid w:val="FFEF03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99" w:semiHidden="0"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40"/>
    <w:qFormat/>
    <w:uiPriority w:val="1"/>
    <w:pPr>
      <w:autoSpaceDE w:val="0"/>
      <w:autoSpaceDN w:val="0"/>
      <w:spacing w:before="28"/>
      <w:jc w:val="left"/>
      <w:outlineLvl w:val="0"/>
    </w:pPr>
    <w:rPr>
      <w:rFonts w:ascii="黑体" w:hAnsi="黑体" w:eastAsia="黑体" w:cs="黑体"/>
      <w:kern w:val="0"/>
      <w:sz w:val="32"/>
      <w:szCs w:val="32"/>
      <w:lang w:val="zh-CN" w:bidi="zh-CN"/>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rPr>
      <w:rFonts w:ascii="宋体" w:hAnsi="宋体" w:cs="宋体"/>
      <w:sz w:val="28"/>
      <w:szCs w:val="28"/>
      <w:lang w:val="zh-CN" w:bidi="zh-CN"/>
    </w:rPr>
  </w:style>
  <w:style w:type="paragraph" w:styleId="4">
    <w:name w:val="annotation text"/>
    <w:basedOn w:val="1"/>
    <w:link w:val="27"/>
    <w:unhideWhenUsed/>
    <w:qFormat/>
    <w:uiPriority w:val="99"/>
    <w:pPr>
      <w:jc w:val="left"/>
    </w:pPr>
  </w:style>
  <w:style w:type="paragraph" w:styleId="5">
    <w:name w:val="Body Text Indent"/>
    <w:basedOn w:val="1"/>
    <w:link w:val="28"/>
    <w:qFormat/>
    <w:uiPriority w:val="0"/>
    <w:pPr>
      <w:ind w:firstLine="600" w:firstLineChars="200"/>
    </w:pPr>
    <w:rPr>
      <w:rFonts w:ascii="Times New Roman" w:hAnsi="Times New Roman" w:eastAsia="仿宋_GB2312"/>
      <w:kern w:val="0"/>
      <w:sz w:val="30"/>
      <w:szCs w:val="24"/>
    </w:rPr>
  </w:style>
  <w:style w:type="paragraph" w:styleId="6">
    <w:name w:val="Plain Text"/>
    <w:basedOn w:val="1"/>
    <w:link w:val="26"/>
    <w:unhideWhenUsed/>
    <w:qFormat/>
    <w:uiPriority w:val="99"/>
    <w:rPr>
      <w:rFonts w:ascii="宋体" w:hAnsi="Courier New"/>
      <w:kern w:val="0"/>
      <w:sz w:val="20"/>
      <w:szCs w:val="20"/>
    </w:rPr>
  </w:style>
  <w:style w:type="paragraph" w:styleId="7">
    <w:name w:val="Balloon Text"/>
    <w:basedOn w:val="1"/>
    <w:link w:val="21"/>
    <w:unhideWhenUsed/>
    <w:qFormat/>
    <w:uiPriority w:val="99"/>
    <w:rPr>
      <w:kern w:val="0"/>
      <w:sz w:val="18"/>
      <w:szCs w:val="18"/>
    </w:rPr>
  </w:style>
  <w:style w:type="paragraph" w:styleId="8">
    <w:name w:val="footer"/>
    <w:basedOn w:val="1"/>
    <w:link w:val="23"/>
    <w:unhideWhenUsed/>
    <w:qFormat/>
    <w:uiPriority w:val="99"/>
    <w:pPr>
      <w:tabs>
        <w:tab w:val="center" w:pos="4153"/>
        <w:tab w:val="right" w:pos="8306"/>
      </w:tabs>
      <w:snapToGrid w:val="0"/>
      <w:jc w:val="left"/>
    </w:pPr>
    <w:rPr>
      <w:kern w:val="0"/>
      <w:sz w:val="18"/>
      <w:szCs w:val="18"/>
    </w:rPr>
  </w:style>
  <w:style w:type="paragraph" w:styleId="9">
    <w:name w:val="header"/>
    <w:basedOn w:val="1"/>
    <w:link w:val="24"/>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0">
    <w:name w:val="Body Text Indent 3"/>
    <w:basedOn w:val="1"/>
    <w:link w:val="22"/>
    <w:unhideWhenUsed/>
    <w:qFormat/>
    <w:uiPriority w:val="99"/>
    <w:pPr>
      <w:spacing w:after="120"/>
      <w:ind w:left="420" w:leftChars="200"/>
    </w:pPr>
    <w:rPr>
      <w:kern w:val="0"/>
      <w:sz w:val="16"/>
      <w:szCs w:val="16"/>
    </w:rPr>
  </w:style>
  <w:style w:type="paragraph" w:styleId="11">
    <w:name w:val="Normal (Web)"/>
    <w:basedOn w:val="1"/>
    <w:qFormat/>
    <w:uiPriority w:val="99"/>
    <w:pPr>
      <w:spacing w:beforeAutospacing="1" w:afterAutospacing="1"/>
      <w:jc w:val="left"/>
    </w:pPr>
    <w:rPr>
      <w:kern w:val="0"/>
      <w:sz w:val="24"/>
    </w:rPr>
  </w:style>
  <w:style w:type="paragraph" w:styleId="12">
    <w:name w:val="annotation subject"/>
    <w:basedOn w:val="4"/>
    <w:next w:val="4"/>
    <w:link w:val="19"/>
    <w:unhideWhenUsed/>
    <w:qFormat/>
    <w:uiPriority w:val="99"/>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0"/>
    <w:rPr>
      <w:b/>
    </w:rPr>
  </w:style>
  <w:style w:type="character" w:styleId="17">
    <w:name w:val="page number"/>
    <w:basedOn w:val="15"/>
    <w:qFormat/>
    <w:uiPriority w:val="0"/>
  </w:style>
  <w:style w:type="character" w:styleId="18">
    <w:name w:val="annotation reference"/>
    <w:unhideWhenUsed/>
    <w:qFormat/>
    <w:uiPriority w:val="99"/>
    <w:rPr>
      <w:sz w:val="21"/>
      <w:szCs w:val="21"/>
    </w:rPr>
  </w:style>
  <w:style w:type="character" w:customStyle="1" w:styleId="19">
    <w:name w:val="批注主题 字符"/>
    <w:link w:val="12"/>
    <w:semiHidden/>
    <w:qFormat/>
    <w:uiPriority w:val="99"/>
    <w:rPr>
      <w:rFonts w:ascii="Calibri" w:hAnsi="Calibri"/>
      <w:b/>
      <w:bCs/>
      <w:kern w:val="2"/>
      <w:sz w:val="21"/>
      <w:szCs w:val="22"/>
    </w:rPr>
  </w:style>
  <w:style w:type="character" w:customStyle="1" w:styleId="20">
    <w:name w:val="页眉 字符"/>
    <w:qFormat/>
    <w:uiPriority w:val="99"/>
    <w:rPr>
      <w:kern w:val="2"/>
      <w:sz w:val="18"/>
      <w:szCs w:val="18"/>
    </w:rPr>
  </w:style>
  <w:style w:type="character" w:customStyle="1" w:styleId="21">
    <w:name w:val="批注框文本 字符"/>
    <w:link w:val="7"/>
    <w:semiHidden/>
    <w:qFormat/>
    <w:uiPriority w:val="99"/>
    <w:rPr>
      <w:rFonts w:ascii="Calibri" w:hAnsi="Calibri" w:eastAsia="宋体" w:cs="Times New Roman"/>
      <w:sz w:val="18"/>
      <w:szCs w:val="18"/>
    </w:rPr>
  </w:style>
  <w:style w:type="character" w:customStyle="1" w:styleId="22">
    <w:name w:val="正文文本缩进 3 字符"/>
    <w:link w:val="10"/>
    <w:qFormat/>
    <w:uiPriority w:val="99"/>
    <w:rPr>
      <w:rFonts w:ascii="Calibri" w:hAnsi="Calibri" w:eastAsia="宋体" w:cs="Times New Roman"/>
      <w:sz w:val="16"/>
      <w:szCs w:val="16"/>
    </w:rPr>
  </w:style>
  <w:style w:type="character" w:customStyle="1" w:styleId="23">
    <w:name w:val="页脚 字符"/>
    <w:link w:val="8"/>
    <w:qFormat/>
    <w:uiPriority w:val="99"/>
    <w:rPr>
      <w:rFonts w:ascii="Calibri" w:hAnsi="Calibri" w:eastAsia="宋体" w:cs="Times New Roman"/>
      <w:sz w:val="18"/>
      <w:szCs w:val="18"/>
    </w:rPr>
  </w:style>
  <w:style w:type="character" w:customStyle="1" w:styleId="24">
    <w:name w:val="页眉 字符1"/>
    <w:link w:val="9"/>
    <w:semiHidden/>
    <w:qFormat/>
    <w:uiPriority w:val="99"/>
    <w:rPr>
      <w:rFonts w:ascii="Calibri" w:hAnsi="Calibri" w:eastAsia="宋体" w:cs="Times New Roman"/>
      <w:sz w:val="18"/>
      <w:szCs w:val="18"/>
    </w:rPr>
  </w:style>
  <w:style w:type="character" w:customStyle="1" w:styleId="25">
    <w:name w:val="apple-converted-space"/>
    <w:basedOn w:val="15"/>
    <w:qFormat/>
    <w:uiPriority w:val="0"/>
  </w:style>
  <w:style w:type="character" w:customStyle="1" w:styleId="26">
    <w:name w:val="纯文本 字符"/>
    <w:link w:val="6"/>
    <w:semiHidden/>
    <w:qFormat/>
    <w:uiPriority w:val="99"/>
    <w:rPr>
      <w:rFonts w:ascii="宋体" w:hAnsi="Courier New" w:eastAsia="宋体" w:cs="Times New Roman"/>
      <w:kern w:val="0"/>
      <w:sz w:val="20"/>
      <w:szCs w:val="20"/>
    </w:rPr>
  </w:style>
  <w:style w:type="character" w:customStyle="1" w:styleId="27">
    <w:name w:val="批注文字 字符"/>
    <w:link w:val="4"/>
    <w:semiHidden/>
    <w:qFormat/>
    <w:uiPriority w:val="99"/>
    <w:rPr>
      <w:rFonts w:ascii="Calibri" w:hAnsi="Calibri"/>
      <w:kern w:val="2"/>
      <w:sz w:val="21"/>
      <w:szCs w:val="22"/>
    </w:rPr>
  </w:style>
  <w:style w:type="character" w:customStyle="1" w:styleId="28">
    <w:name w:val="正文文本缩进 字符"/>
    <w:link w:val="5"/>
    <w:qFormat/>
    <w:uiPriority w:val="0"/>
    <w:rPr>
      <w:rFonts w:ascii="Times New Roman" w:hAnsi="Times New Roman" w:eastAsia="仿宋_GB2312" w:cs="Times New Roman"/>
      <w:sz w:val="30"/>
      <w:szCs w:val="24"/>
    </w:rPr>
  </w:style>
  <w:style w:type="paragraph" w:customStyle="1" w:styleId="29">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0">
    <w:name w:val="正文表标题"/>
    <w:next w:val="1"/>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31">
    <w:name w:val="列出段落1"/>
    <w:basedOn w:val="1"/>
    <w:qFormat/>
    <w:uiPriority w:val="34"/>
    <w:pPr>
      <w:ind w:firstLine="420" w:firstLineChars="200"/>
    </w:pPr>
  </w:style>
  <w:style w:type="paragraph" w:styleId="32">
    <w:name w:val="List Paragraph"/>
    <w:basedOn w:val="1"/>
    <w:qFormat/>
    <w:uiPriority w:val="1"/>
    <w:pPr>
      <w:ind w:firstLine="420" w:firstLineChars="200"/>
    </w:pPr>
  </w:style>
  <w:style w:type="paragraph" w:customStyle="1" w:styleId="33">
    <w:name w:val="封面标准号2"/>
    <w:qFormat/>
    <w:uiPriority w:val="99"/>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34">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35">
    <w:name w:val="Table Paragraph"/>
    <w:basedOn w:val="1"/>
    <w:qFormat/>
    <w:uiPriority w:val="1"/>
    <w:rPr>
      <w:rFonts w:ascii="宋体" w:hAnsi="宋体" w:cs="宋体"/>
      <w:lang w:val="zh-CN" w:bidi="zh-CN"/>
    </w:rPr>
  </w:style>
  <w:style w:type="paragraph" w:customStyle="1" w:styleId="36">
    <w:name w:val="字母编号列项（一级）"/>
    <w:qFormat/>
    <w:uiPriority w:val="0"/>
    <w:pPr>
      <w:tabs>
        <w:tab w:val="left" w:pos="720"/>
        <w:tab w:val="left" w:pos="839"/>
      </w:tabs>
      <w:ind w:left="720" w:hanging="720"/>
      <w:jc w:val="both"/>
    </w:pPr>
    <w:rPr>
      <w:rFonts w:ascii="宋体" w:hAnsi="Times New Roman" w:eastAsia="宋体" w:cs="Times New Roman"/>
      <w:sz w:val="21"/>
      <w:lang w:val="en-US" w:eastAsia="zh-CN" w:bidi="ar-SA"/>
    </w:rPr>
  </w:style>
  <w:style w:type="paragraph" w:customStyle="1" w:styleId="37">
    <w:name w:val="修订1"/>
    <w:hidden/>
    <w:unhideWhenUsed/>
    <w:qFormat/>
    <w:uiPriority w:val="99"/>
    <w:rPr>
      <w:rFonts w:ascii="Calibri" w:hAnsi="Calibri" w:eastAsia="宋体" w:cs="Times New Roman"/>
      <w:kern w:val="2"/>
      <w:sz w:val="21"/>
      <w:szCs w:val="22"/>
      <w:lang w:val="en-US" w:eastAsia="zh-CN" w:bidi="ar-SA"/>
    </w:rPr>
  </w:style>
  <w:style w:type="character" w:styleId="38">
    <w:name w:val="Placeholder Text"/>
    <w:basedOn w:val="15"/>
    <w:unhideWhenUsed/>
    <w:qFormat/>
    <w:uiPriority w:val="99"/>
    <w:rPr>
      <w:color w:val="808080"/>
    </w:rPr>
  </w:style>
  <w:style w:type="paragraph" w:customStyle="1" w:styleId="39">
    <w:name w:val="修订2"/>
    <w:hidden/>
    <w:semiHidden/>
    <w:qFormat/>
    <w:uiPriority w:val="99"/>
    <w:rPr>
      <w:rFonts w:ascii="Calibri" w:hAnsi="Calibri" w:eastAsia="宋体" w:cs="Times New Roman"/>
      <w:kern w:val="2"/>
      <w:sz w:val="21"/>
      <w:szCs w:val="22"/>
      <w:lang w:val="en-US" w:eastAsia="zh-CN" w:bidi="ar-SA"/>
    </w:rPr>
  </w:style>
  <w:style w:type="character" w:customStyle="1" w:styleId="40">
    <w:name w:val="标题 1 字符"/>
    <w:basedOn w:val="15"/>
    <w:link w:val="3"/>
    <w:qFormat/>
    <w:uiPriority w:val="1"/>
    <w:rPr>
      <w:rFonts w:ascii="黑体" w:hAnsi="黑体" w:eastAsia="黑体" w:cs="黑体"/>
      <w:sz w:val="32"/>
      <w:szCs w:val="32"/>
      <w:lang w:val="zh-CN" w:bidi="zh-CN"/>
    </w:rPr>
  </w:style>
  <w:style w:type="table" w:customStyle="1" w:styleId="41">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2">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164</Words>
  <Characters>941</Characters>
  <Lines>7</Lines>
  <Paragraphs>2</Paragraphs>
  <TotalTime>0</TotalTime>
  <ScaleCrop>false</ScaleCrop>
  <LinksUpToDate>false</LinksUpToDate>
  <CharactersWithSpaces>1103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2023-02-28T17:07:00Z</dcterms:created>
  <dc:creator>Windows 用户</dc:creator>
  <cp:lastModifiedBy>追&amp;逐</cp:lastModifiedBy>
  <cp:lastPrinted>2022-02-26T02:34:00Z</cp:lastPrinted>
  <dcterms:modified xsi:type="dcterms:W3CDTF">2023-09-26T02:37:36Z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KSOSaveFontToCloudKey">
    <vt:lpwstr>1143097280_btnclosed</vt:lpwstr>
  </property>
  <property fmtid="{D5CDD505-2E9C-101B-9397-08002B2CF9AE}" pid="4" name="ICV">
    <vt:lpwstr>169D3B52C64F4F35BC6CB92AC77A25DA_13</vt:lpwstr>
  </property>
</Properties>
</file>