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540" w:afterAutospacing="0" w:line="450" w:lineRule="atLeast"/>
        <w:ind w:left="0" w:right="0" w:firstLine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FFFFF"/>
        </w:rPr>
        <w:t>附件1</w:t>
      </w:r>
    </w:p>
    <w:tbl>
      <w:tblPr>
        <w:tblStyle w:val="4"/>
        <w:tblW w:w="1398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5"/>
        <w:gridCol w:w="1467"/>
        <w:gridCol w:w="1521"/>
        <w:gridCol w:w="2133"/>
        <w:gridCol w:w="3266"/>
        <w:gridCol w:w="880"/>
        <w:gridCol w:w="880"/>
        <w:gridCol w:w="880"/>
        <w:gridCol w:w="1078"/>
        <w:gridCol w:w="131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8" w:hRule="atLeast"/>
          <w:jc w:val="center"/>
        </w:trPr>
        <w:tc>
          <w:tcPr>
            <w:tcW w:w="1398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年度福彩公益金使用情况公示表（地方分成资金）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  <w:jc w:val="center"/>
        </w:trPr>
        <w:tc>
          <w:tcPr>
            <w:tcW w:w="56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6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资金归属</w:t>
            </w:r>
          </w:p>
        </w:tc>
        <w:tc>
          <w:tcPr>
            <w:tcW w:w="152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项目类型</w:t>
            </w:r>
          </w:p>
        </w:tc>
        <w:tc>
          <w:tcPr>
            <w:tcW w:w="21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项目单位</w:t>
            </w:r>
          </w:p>
        </w:tc>
        <w:tc>
          <w:tcPr>
            <w:tcW w:w="32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8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资金额度</w:t>
            </w:r>
          </w:p>
        </w:tc>
        <w:tc>
          <w:tcPr>
            <w:tcW w:w="8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已支付</w:t>
            </w:r>
          </w:p>
        </w:tc>
        <w:tc>
          <w:tcPr>
            <w:tcW w:w="8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0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3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管理办法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7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4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2022年7-11月福利彩票公益金地方分成资金</w:t>
            </w:r>
          </w:p>
        </w:tc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老年人福利</w:t>
            </w:r>
          </w:p>
        </w:tc>
        <w:tc>
          <w:tcPr>
            <w:tcW w:w="2133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河东新区社会事业与群众工作局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特殊困难老年人家庭适老化改造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冯艳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both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19808251987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《四川省民政厅福利彩票公益金使用管理办法（川民发〔2021〕102号）、《遂宁市福利彩票公益金管理办法》（遂财规〔2020〕2号）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7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慈音街道办事处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慈音街道为老服站建设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6.86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王福玉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both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13882580177</w:t>
            </w: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vanish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FFFFF"/>
        </w:rPr>
        <w:br w:type="page"/>
      </w:r>
    </w:p>
    <w:tbl>
      <w:tblPr>
        <w:tblStyle w:val="4"/>
        <w:tblW w:w="1392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3"/>
        <w:gridCol w:w="1593"/>
        <w:gridCol w:w="1594"/>
        <w:gridCol w:w="1593"/>
        <w:gridCol w:w="2766"/>
        <w:gridCol w:w="1593"/>
        <w:gridCol w:w="1593"/>
        <w:gridCol w:w="159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1392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附件2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1392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  <w:t>年度福彩公益金绩效目标自评表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  <w:jc w:val="center"/>
        </w:trPr>
        <w:tc>
          <w:tcPr>
            <w:tcW w:w="1392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年度）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  <w:jc w:val="center"/>
        </w:trPr>
        <w:tc>
          <w:tcPr>
            <w:tcW w:w="47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专项（项目）名称</w:t>
            </w:r>
          </w:p>
        </w:tc>
        <w:tc>
          <w:tcPr>
            <w:tcW w:w="43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福利彩票公益金</w:t>
            </w:r>
          </w:p>
        </w:tc>
        <w:tc>
          <w:tcPr>
            <w:tcW w:w="31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负责人及电话</w:t>
            </w:r>
          </w:p>
        </w:tc>
        <w:tc>
          <w:tcPr>
            <w:tcW w:w="15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  <w:jc w:val="center"/>
        </w:trPr>
        <w:tc>
          <w:tcPr>
            <w:tcW w:w="478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中央主管部门</w:t>
            </w:r>
          </w:p>
        </w:tc>
        <w:tc>
          <w:tcPr>
            <w:tcW w:w="914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财政部   民政部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0" w:hRule="atLeast"/>
          <w:jc w:val="center"/>
        </w:trPr>
        <w:tc>
          <w:tcPr>
            <w:tcW w:w="478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地方主管部门</w:t>
            </w:r>
          </w:p>
        </w:tc>
        <w:tc>
          <w:tcPr>
            <w:tcW w:w="435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四川省财政厅   四川省民政厅</w:t>
            </w:r>
          </w:p>
        </w:tc>
        <w:tc>
          <w:tcPr>
            <w:tcW w:w="15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实施单位</w:t>
            </w:r>
          </w:p>
        </w:tc>
        <w:tc>
          <w:tcPr>
            <w:tcW w:w="318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遂宁市民政局及直属单位、各县（市、区）民政部门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  <w:jc w:val="center"/>
        </w:trPr>
        <w:tc>
          <w:tcPr>
            <w:tcW w:w="4780" w:type="dxa"/>
            <w:gridSpan w:val="3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项目资金（万元）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全年预算数（A）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全年执行数（B）</w:t>
            </w:r>
          </w:p>
        </w:tc>
        <w:tc>
          <w:tcPr>
            <w:tcW w:w="15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执行率（B/A)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  <w:jc w:val="center"/>
        </w:trPr>
        <w:tc>
          <w:tcPr>
            <w:tcW w:w="478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年度资金总额：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44.39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8.86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  <w:jc w:val="center"/>
        </w:trPr>
        <w:tc>
          <w:tcPr>
            <w:tcW w:w="478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其中：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补助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12.39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  <w:jc w:val="center"/>
        </w:trPr>
        <w:tc>
          <w:tcPr>
            <w:tcW w:w="478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 地方资金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8.86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  <w:jc w:val="center"/>
        </w:trPr>
        <w:tc>
          <w:tcPr>
            <w:tcW w:w="478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 其他资金</w:t>
            </w:r>
          </w:p>
        </w:tc>
        <w:tc>
          <w:tcPr>
            <w:tcW w:w="2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  <w:jc w:val="center"/>
        </w:trPr>
        <w:tc>
          <w:tcPr>
            <w:tcW w:w="159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年度总体目标</w:t>
            </w:r>
          </w:p>
        </w:tc>
        <w:tc>
          <w:tcPr>
            <w:tcW w:w="754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年初设定目标</w:t>
            </w:r>
          </w:p>
        </w:tc>
        <w:tc>
          <w:tcPr>
            <w:tcW w:w="478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全年实际完成情况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3" w:hRule="atLeast"/>
          <w:jc w:val="center"/>
        </w:trPr>
        <w:tc>
          <w:tcPr>
            <w:tcW w:w="159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4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1.进一步加强社区养老服务设施建设，有效缓解社区养老服务场地和设施不足的问题；加强养老从业人员职业技能培训，提高养老服务专业化水平。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2.开展民政服务机构自建房安全、燃气安全、食品安全、疫情防控等专项排查整治，提升民政机构服务能力。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.支持社区改造，提高社区亲民化水平。</w:t>
            </w:r>
          </w:p>
        </w:tc>
        <w:tc>
          <w:tcPr>
            <w:tcW w:w="478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特殊困难老年人家庭适老化改造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打造建设为老服务站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1个。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jc w:val="center"/>
        </w:trPr>
        <w:tc>
          <w:tcPr>
            <w:tcW w:w="159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绩效指标</w:t>
            </w:r>
          </w:p>
        </w:tc>
        <w:tc>
          <w:tcPr>
            <w:tcW w:w="159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一级指标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二级指标</w:t>
            </w:r>
          </w:p>
        </w:tc>
        <w:tc>
          <w:tcPr>
            <w:tcW w:w="4359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三级指标</w:t>
            </w:r>
          </w:p>
        </w:tc>
        <w:tc>
          <w:tcPr>
            <w:tcW w:w="1593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年度指标值</w:t>
            </w:r>
          </w:p>
        </w:tc>
        <w:tc>
          <w:tcPr>
            <w:tcW w:w="1593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全年完成值</w:t>
            </w:r>
          </w:p>
        </w:tc>
        <w:tc>
          <w:tcPr>
            <w:tcW w:w="159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未完成原因和改进措施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jc w:val="center"/>
        </w:trPr>
        <w:tc>
          <w:tcPr>
            <w:tcW w:w="159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359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9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jc w:val="center"/>
        </w:trPr>
        <w:tc>
          <w:tcPr>
            <w:tcW w:w="159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产出指标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数量指标</w:t>
            </w:r>
          </w:p>
        </w:tc>
        <w:tc>
          <w:tcPr>
            <w:tcW w:w="435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建设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为老服务站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2023年底拨付资金，2024年底前完成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jc w:val="center"/>
        </w:trPr>
        <w:tc>
          <w:tcPr>
            <w:tcW w:w="159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35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特殊困难老年人家庭适老化改造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2万元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2万元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jc w:val="center"/>
        </w:trPr>
        <w:tc>
          <w:tcPr>
            <w:tcW w:w="159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质量指标</w:t>
            </w:r>
          </w:p>
        </w:tc>
        <w:tc>
          <w:tcPr>
            <w:tcW w:w="435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项目验收合格率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100%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100%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jc w:val="center"/>
        </w:trPr>
        <w:tc>
          <w:tcPr>
            <w:tcW w:w="159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时效指标</w:t>
            </w:r>
          </w:p>
        </w:tc>
        <w:tc>
          <w:tcPr>
            <w:tcW w:w="435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经费下拨时间达标率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100%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100%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jc w:val="center"/>
        </w:trPr>
        <w:tc>
          <w:tcPr>
            <w:tcW w:w="159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效益指标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社会效益</w:t>
            </w:r>
          </w:p>
        </w:tc>
        <w:tc>
          <w:tcPr>
            <w:tcW w:w="435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带动老年人福利事业发展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效果明显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效果明显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jc w:val="center"/>
        </w:trPr>
        <w:tc>
          <w:tcPr>
            <w:tcW w:w="159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5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带动其他社会公益事业发展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持续推进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效果明显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jc w:val="center"/>
        </w:trPr>
        <w:tc>
          <w:tcPr>
            <w:tcW w:w="159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可持续影响指标</w:t>
            </w:r>
          </w:p>
        </w:tc>
        <w:tc>
          <w:tcPr>
            <w:tcW w:w="435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社会福利体系建设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不断完善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不断完善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jc w:val="center"/>
        </w:trPr>
        <w:tc>
          <w:tcPr>
            <w:tcW w:w="159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5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福利彩票公益金社会影响力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不断增强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不断增强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  <w:jc w:val="center"/>
        </w:trPr>
        <w:tc>
          <w:tcPr>
            <w:tcW w:w="159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满意度指标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服务对象满意度指标</w:t>
            </w:r>
          </w:p>
        </w:tc>
        <w:tc>
          <w:tcPr>
            <w:tcW w:w="435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受益老年人及其他受益群体满意度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≥85%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85%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  <w:jc w:val="center"/>
        </w:trPr>
        <w:tc>
          <w:tcPr>
            <w:tcW w:w="15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说明</w:t>
            </w:r>
          </w:p>
        </w:tc>
        <w:tc>
          <w:tcPr>
            <w:tcW w:w="1232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540" w:afterAutospacing="0" w:line="450" w:lineRule="atLeast"/>
        <w:ind w:left="0" w:right="0" w:firstLine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540" w:afterAutospacing="0" w:line="450" w:lineRule="atLeast"/>
        <w:ind w:left="0" w:right="0" w:firstLine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fill="FFFFFF"/>
        </w:rPr>
        <w:t> </w:t>
      </w:r>
    </w:p>
    <w:p/>
    <w:p/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ar(--bs-font-monospac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3MDhiZDRhOWY0NWI0YmE1NGIzMmE2Yjc4M2ZmMWQifQ=="/>
  </w:docVars>
  <w:rsids>
    <w:rsidRoot w:val="25051FFB"/>
    <w:rsid w:val="05303B5C"/>
    <w:rsid w:val="06327D9D"/>
    <w:rsid w:val="0F8B4CE8"/>
    <w:rsid w:val="1B8A2DB3"/>
    <w:rsid w:val="1FC3473C"/>
    <w:rsid w:val="22F8223D"/>
    <w:rsid w:val="25051FFB"/>
    <w:rsid w:val="2DAA515C"/>
    <w:rsid w:val="309362DD"/>
    <w:rsid w:val="42DD2E3C"/>
    <w:rsid w:val="44A13FB3"/>
    <w:rsid w:val="49B96F97"/>
    <w:rsid w:val="4C6630D2"/>
    <w:rsid w:val="571277FB"/>
    <w:rsid w:val="5B5E564E"/>
    <w:rsid w:val="60ED7350"/>
    <w:rsid w:val="6D6940A4"/>
    <w:rsid w:val="6F523C67"/>
    <w:rsid w:val="6FC97CC4"/>
    <w:rsid w:val="73AE3639"/>
    <w:rsid w:val="73B450CC"/>
    <w:rsid w:val="760D5AED"/>
    <w:rsid w:val="778F432B"/>
    <w:rsid w:val="77CE4490"/>
    <w:rsid w:val="7B82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8" w:lineRule="atLeast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  <w:bCs/>
    </w:rPr>
  </w:style>
  <w:style w:type="character" w:styleId="7">
    <w:name w:val="FollowedHyperlink"/>
    <w:basedOn w:val="5"/>
    <w:autoRedefine/>
    <w:qFormat/>
    <w:uiPriority w:val="0"/>
    <w:rPr>
      <w:color w:val="333333"/>
      <w:u w:val="none"/>
    </w:rPr>
  </w:style>
  <w:style w:type="character" w:styleId="8">
    <w:name w:val="Emphasis"/>
    <w:basedOn w:val="5"/>
    <w:autoRedefine/>
    <w:qFormat/>
    <w:uiPriority w:val="0"/>
  </w:style>
  <w:style w:type="character" w:styleId="9">
    <w:name w:val="Hyperlink"/>
    <w:basedOn w:val="5"/>
    <w:autoRedefine/>
    <w:qFormat/>
    <w:uiPriority w:val="0"/>
    <w:rPr>
      <w:color w:val="333333"/>
      <w:u w:val="none"/>
    </w:rPr>
  </w:style>
  <w:style w:type="character" w:styleId="10">
    <w:name w:val="HTML Code"/>
    <w:basedOn w:val="5"/>
    <w:uiPriority w:val="0"/>
    <w:rPr>
      <w:rFonts w:ascii="var(--bs-font-monospace)" w:hAnsi="var(--bs-font-monospace)" w:eastAsia="var(--bs-font-monospace)" w:cs="var(--bs-font-monospace)"/>
      <w:sz w:val="18"/>
      <w:szCs w:val="18"/>
    </w:rPr>
  </w:style>
  <w:style w:type="character" w:styleId="11">
    <w:name w:val="HTML Keyboard"/>
    <w:basedOn w:val="5"/>
    <w:autoRedefine/>
    <w:qFormat/>
    <w:uiPriority w:val="0"/>
    <w:rPr>
      <w:rFonts w:hint="default" w:ascii="var(--bs-font-monospace)" w:hAnsi="var(--bs-font-monospace)" w:eastAsia="var(--bs-font-monospace)" w:cs="var(--bs-font-monospace)"/>
      <w:sz w:val="18"/>
      <w:szCs w:val="18"/>
    </w:rPr>
  </w:style>
  <w:style w:type="character" w:styleId="12">
    <w:name w:val="HTML Sample"/>
    <w:basedOn w:val="5"/>
    <w:autoRedefine/>
    <w:qFormat/>
    <w:uiPriority w:val="0"/>
    <w:rPr>
      <w:rFonts w:hint="default" w:ascii="var(--bs-font-monospace)" w:hAnsi="var(--bs-font-monospace)" w:eastAsia="var(--bs-font-monospace)" w:cs="var(--bs-font-monospace)"/>
      <w:sz w:val="21"/>
      <w:szCs w:val="21"/>
    </w:rPr>
  </w:style>
  <w:style w:type="character" w:customStyle="1" w:styleId="13">
    <w:name w:val="layui-laypage-cur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2024-04-22T09:19:00Z</dcterms:created>
  <dc:creator>Administrator</dc:creator>
  <cp:lastModifiedBy>肖蒙</cp:lastModifiedBy>
  <dcterms:modified xsi:type="dcterms:W3CDTF">2024-04-23T06:42:37Z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E06607BF7DCD403B843AB39339DC9EBE_11</vt:lpwstr>
  </property>
</Properties>
</file>