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DB588E">
      <w:pPr>
        <w:pageBreakBefore w:val="0"/>
        <w:wordWrap/>
        <w:overflowPunct/>
        <w:topLinePunct w:val="0"/>
        <w:bidi w:val="0"/>
        <w:spacing w:before="166" w:line="560" w:lineRule="exact"/>
        <w:ind w:left="2094" w:right="1232" w:hanging="849"/>
        <w:jc w:val="center"/>
        <w:outlineLvl w:val="0"/>
        <w:rPr>
          <w:rFonts w:ascii="Times New Roman" w:hAnsi="Times New Roman" w:eastAsia="Times New Roman" w:cs="Times New Roman"/>
          <w:b/>
          <w:bCs/>
          <w:spacing w:val="8"/>
          <w:sz w:val="51"/>
          <w:szCs w:val="51"/>
        </w:rPr>
      </w:pPr>
    </w:p>
    <w:p w14:paraId="104673AC">
      <w:pPr>
        <w:pageBreakBefore w:val="0"/>
        <w:wordWrap/>
        <w:overflowPunct/>
        <w:topLinePunct w:val="0"/>
        <w:bidi w:val="0"/>
        <w:spacing w:before="166" w:line="560" w:lineRule="exact"/>
        <w:ind w:left="2094" w:right="1232" w:hanging="849"/>
        <w:jc w:val="center"/>
        <w:outlineLvl w:val="0"/>
        <w:rPr>
          <w:rFonts w:ascii="Times New Roman" w:hAnsi="Times New Roman" w:eastAsia="Times New Roman" w:cs="Times New Roman"/>
          <w:b/>
          <w:bCs/>
          <w:spacing w:val="8"/>
          <w:sz w:val="51"/>
          <w:szCs w:val="51"/>
        </w:rPr>
      </w:pPr>
    </w:p>
    <w:p w14:paraId="2DAAFEE4">
      <w:pPr>
        <w:pageBreakBefore w:val="0"/>
        <w:wordWrap/>
        <w:overflowPunct/>
        <w:topLinePunct w:val="0"/>
        <w:bidi w:val="0"/>
        <w:spacing w:before="166" w:line="560" w:lineRule="exact"/>
        <w:ind w:left="2094" w:right="1232" w:hanging="849"/>
        <w:jc w:val="center"/>
        <w:outlineLvl w:val="0"/>
        <w:rPr>
          <w:rFonts w:ascii="Times New Roman" w:hAnsi="Times New Roman" w:eastAsia="Times New Roman" w:cs="Times New Roman"/>
          <w:b/>
          <w:bCs/>
          <w:spacing w:val="8"/>
          <w:sz w:val="51"/>
          <w:szCs w:val="51"/>
        </w:rPr>
      </w:pPr>
    </w:p>
    <w:p w14:paraId="6A28A596">
      <w:pPr>
        <w:pageBreakBefore w:val="0"/>
        <w:wordWrap/>
        <w:overflowPunct/>
        <w:topLinePunct w:val="0"/>
        <w:bidi w:val="0"/>
        <w:spacing w:before="166" w:line="560" w:lineRule="exact"/>
        <w:ind w:left="2094" w:right="1232" w:hanging="849"/>
        <w:jc w:val="center"/>
        <w:outlineLvl w:val="0"/>
        <w:rPr>
          <w:rFonts w:hint="eastAsia" w:ascii="宋体" w:hAnsi="宋体" w:eastAsia="宋体" w:cs="宋体"/>
          <w:spacing w:val="8"/>
          <w:sz w:val="51"/>
          <w:szCs w:val="51"/>
          <w:lang w:eastAsia="zh-CN"/>
          <w14:textOutline w14:w="6603" w14:cap="flat" w14:cmpd="sng">
            <w14:solidFill>
              <w14:srgbClr w14:val="000000"/>
            </w14:solidFill>
            <w14:prstDash w14:val="solid"/>
            <w14:miter w14:val="0"/>
          </w14:textOutline>
        </w:rPr>
      </w:pPr>
      <w:r>
        <w:rPr>
          <w:rFonts w:ascii="Times New Roman" w:hAnsi="Times New Roman" w:eastAsia="Times New Roman" w:cs="Times New Roman"/>
          <w:b/>
          <w:bCs/>
          <w:spacing w:val="8"/>
          <w:sz w:val="51"/>
          <w:szCs w:val="51"/>
        </w:rPr>
        <w:t xml:space="preserve">2022 </w:t>
      </w:r>
      <w:r>
        <w:rPr>
          <w:rFonts w:ascii="宋体" w:hAnsi="宋体" w:eastAsia="宋体" w:cs="宋体"/>
          <w:spacing w:val="8"/>
          <w:sz w:val="51"/>
          <w:szCs w:val="51"/>
          <w14:textOutline w14:w="6603" w14:cap="flat" w14:cmpd="sng">
            <w14:solidFill>
              <w14:srgbClr w14:val="000000"/>
            </w14:solidFill>
            <w14:prstDash w14:val="solid"/>
            <w14:miter w14:val="0"/>
          </w14:textOutline>
        </w:rPr>
        <w:t>年</w:t>
      </w:r>
      <w:r>
        <w:rPr>
          <w:rFonts w:hint="eastAsia" w:ascii="宋体" w:hAnsi="宋体" w:eastAsia="宋体" w:cs="宋体"/>
          <w:spacing w:val="8"/>
          <w:sz w:val="51"/>
          <w:szCs w:val="51"/>
          <w:lang w:eastAsia="zh-CN"/>
          <w14:textOutline w14:w="6603" w14:cap="flat" w14:cmpd="sng">
            <w14:solidFill>
              <w14:srgbClr w14:val="000000"/>
            </w14:solidFill>
            <w14:prstDash w14:val="solid"/>
            <w14:miter w14:val="0"/>
          </w14:textOutline>
        </w:rPr>
        <w:t>遂宁市河东新区</w:t>
      </w:r>
    </w:p>
    <w:p w14:paraId="11B89C91">
      <w:pPr>
        <w:pageBreakBefore w:val="0"/>
        <w:wordWrap/>
        <w:overflowPunct/>
        <w:topLinePunct w:val="0"/>
        <w:bidi w:val="0"/>
        <w:spacing w:before="166" w:line="560" w:lineRule="exact"/>
        <w:ind w:left="2094" w:right="1232" w:hanging="849"/>
        <w:jc w:val="center"/>
        <w:outlineLvl w:val="0"/>
        <w:rPr>
          <w:rFonts w:ascii="宋体" w:hAnsi="宋体" w:eastAsia="宋体" w:cs="宋体"/>
          <w:spacing w:val="9"/>
          <w:sz w:val="51"/>
          <w:szCs w:val="51"/>
          <w14:textOutline w14:w="6603" w14:cap="flat" w14:cmpd="sng">
            <w14:solidFill>
              <w14:srgbClr w14:val="000000"/>
            </w14:solidFill>
            <w14:prstDash w14:val="solid"/>
            <w14:miter w14:val="0"/>
          </w14:textOutline>
        </w:rPr>
      </w:pPr>
      <w:r>
        <w:rPr>
          <w:rFonts w:ascii="宋体" w:hAnsi="宋体" w:eastAsia="宋体" w:cs="宋体"/>
          <w:spacing w:val="8"/>
          <w:sz w:val="51"/>
          <w:szCs w:val="51"/>
          <w14:textOutline w14:w="6603" w14:cap="flat" w14:cmpd="sng">
            <w14:solidFill>
              <w14:srgbClr w14:val="000000"/>
            </w14:solidFill>
            <w14:prstDash w14:val="solid"/>
            <w14:miter w14:val="0"/>
          </w14:textOutline>
        </w:rPr>
        <w:t>部门整体支出</w:t>
      </w:r>
      <w:r>
        <w:rPr>
          <w:rFonts w:ascii="宋体" w:hAnsi="宋体" w:eastAsia="宋体" w:cs="宋体"/>
          <w:spacing w:val="9"/>
          <w:sz w:val="51"/>
          <w:szCs w:val="51"/>
          <w14:textOutline w14:w="6603" w14:cap="flat" w14:cmpd="sng">
            <w14:solidFill>
              <w14:srgbClr w14:val="000000"/>
            </w14:solidFill>
            <w14:prstDash w14:val="solid"/>
            <w14:miter w14:val="0"/>
          </w14:textOutline>
        </w:rPr>
        <w:t>绩效评价</w:t>
      </w:r>
    </w:p>
    <w:p w14:paraId="566E069B">
      <w:pPr>
        <w:pageBreakBefore w:val="0"/>
        <w:wordWrap/>
        <w:overflowPunct/>
        <w:topLinePunct w:val="0"/>
        <w:bidi w:val="0"/>
        <w:spacing w:before="166" w:line="560" w:lineRule="exact"/>
        <w:ind w:left="2094" w:right="1232" w:hanging="849"/>
        <w:jc w:val="center"/>
        <w:outlineLvl w:val="0"/>
        <w:rPr>
          <w:rFonts w:ascii="宋体" w:hAnsi="宋体" w:eastAsia="宋体" w:cs="宋体"/>
          <w:sz w:val="51"/>
          <w:szCs w:val="51"/>
        </w:rPr>
      </w:pPr>
      <w:r>
        <w:rPr>
          <w:rFonts w:ascii="宋体" w:hAnsi="宋体" w:eastAsia="宋体" w:cs="宋体"/>
          <w:spacing w:val="9"/>
          <w:sz w:val="51"/>
          <w:szCs w:val="51"/>
          <w14:textOutline w14:w="6603" w14:cap="flat" w14:cmpd="sng">
            <w14:solidFill>
              <w14:srgbClr w14:val="000000"/>
            </w14:solidFill>
            <w14:prstDash w14:val="solid"/>
            <w14:miter w14:val="0"/>
          </w14:textOutline>
        </w:rPr>
        <w:t>报告汇编</w:t>
      </w:r>
    </w:p>
    <w:p w14:paraId="15331D40">
      <w:pPr>
        <w:pStyle w:val="8"/>
        <w:pageBreakBefore w:val="0"/>
        <w:wordWrap/>
        <w:overflowPunct/>
        <w:topLinePunct w:val="0"/>
        <w:bidi w:val="0"/>
        <w:spacing w:line="560" w:lineRule="exact"/>
      </w:pPr>
    </w:p>
    <w:p w14:paraId="13DD315F">
      <w:pPr>
        <w:pStyle w:val="8"/>
        <w:pageBreakBefore w:val="0"/>
        <w:wordWrap/>
        <w:overflowPunct/>
        <w:topLinePunct w:val="0"/>
        <w:bidi w:val="0"/>
        <w:spacing w:line="560" w:lineRule="exact"/>
      </w:pPr>
    </w:p>
    <w:p w14:paraId="63943CBB">
      <w:pPr>
        <w:pStyle w:val="8"/>
        <w:pageBreakBefore w:val="0"/>
        <w:wordWrap/>
        <w:overflowPunct/>
        <w:topLinePunct w:val="0"/>
        <w:bidi w:val="0"/>
        <w:spacing w:line="560" w:lineRule="exact"/>
      </w:pPr>
    </w:p>
    <w:p w14:paraId="464D9CBC">
      <w:pPr>
        <w:pStyle w:val="8"/>
        <w:pageBreakBefore w:val="0"/>
        <w:wordWrap/>
        <w:overflowPunct/>
        <w:topLinePunct w:val="0"/>
        <w:bidi w:val="0"/>
        <w:spacing w:line="560" w:lineRule="exact"/>
      </w:pPr>
    </w:p>
    <w:p w14:paraId="3B69F88C">
      <w:pPr>
        <w:pStyle w:val="8"/>
        <w:pageBreakBefore w:val="0"/>
        <w:wordWrap/>
        <w:overflowPunct/>
        <w:topLinePunct w:val="0"/>
        <w:bidi w:val="0"/>
        <w:spacing w:line="560" w:lineRule="exact"/>
      </w:pPr>
    </w:p>
    <w:p w14:paraId="5DF7B42C">
      <w:pPr>
        <w:pStyle w:val="8"/>
        <w:pageBreakBefore w:val="0"/>
        <w:wordWrap/>
        <w:overflowPunct/>
        <w:topLinePunct w:val="0"/>
        <w:bidi w:val="0"/>
        <w:spacing w:line="560" w:lineRule="exact"/>
      </w:pPr>
    </w:p>
    <w:p w14:paraId="59191C00">
      <w:pPr>
        <w:pStyle w:val="8"/>
        <w:pageBreakBefore w:val="0"/>
        <w:wordWrap/>
        <w:overflowPunct/>
        <w:topLinePunct w:val="0"/>
        <w:bidi w:val="0"/>
        <w:spacing w:line="560" w:lineRule="exact"/>
      </w:pPr>
    </w:p>
    <w:p w14:paraId="7DDC1708">
      <w:pPr>
        <w:pStyle w:val="8"/>
        <w:pageBreakBefore w:val="0"/>
        <w:wordWrap/>
        <w:overflowPunct/>
        <w:topLinePunct w:val="0"/>
        <w:bidi w:val="0"/>
        <w:spacing w:line="560" w:lineRule="exact"/>
      </w:pPr>
    </w:p>
    <w:p w14:paraId="51681FD5">
      <w:pPr>
        <w:pStyle w:val="8"/>
        <w:pageBreakBefore w:val="0"/>
        <w:wordWrap/>
        <w:overflowPunct/>
        <w:topLinePunct w:val="0"/>
        <w:bidi w:val="0"/>
        <w:spacing w:line="560" w:lineRule="exact"/>
      </w:pPr>
    </w:p>
    <w:p w14:paraId="233EA440">
      <w:pPr>
        <w:pStyle w:val="8"/>
        <w:pageBreakBefore w:val="0"/>
        <w:wordWrap/>
        <w:overflowPunct/>
        <w:topLinePunct w:val="0"/>
        <w:bidi w:val="0"/>
        <w:spacing w:line="560" w:lineRule="exact"/>
      </w:pPr>
    </w:p>
    <w:p w14:paraId="078C7456">
      <w:pPr>
        <w:pStyle w:val="8"/>
        <w:pageBreakBefore w:val="0"/>
        <w:wordWrap/>
        <w:overflowPunct/>
        <w:topLinePunct w:val="0"/>
        <w:bidi w:val="0"/>
        <w:spacing w:line="560" w:lineRule="exact"/>
      </w:pPr>
    </w:p>
    <w:p w14:paraId="112A9B62">
      <w:pPr>
        <w:pStyle w:val="8"/>
        <w:pageBreakBefore w:val="0"/>
        <w:wordWrap/>
        <w:overflowPunct/>
        <w:topLinePunct w:val="0"/>
        <w:bidi w:val="0"/>
        <w:spacing w:line="560" w:lineRule="exact"/>
      </w:pPr>
    </w:p>
    <w:p w14:paraId="2B1FFBEE">
      <w:pPr>
        <w:pStyle w:val="8"/>
        <w:pageBreakBefore w:val="0"/>
        <w:wordWrap/>
        <w:overflowPunct/>
        <w:topLinePunct w:val="0"/>
        <w:bidi w:val="0"/>
        <w:spacing w:line="560" w:lineRule="exact"/>
      </w:pPr>
    </w:p>
    <w:p w14:paraId="6DEAF57B">
      <w:pPr>
        <w:pageBreakBefore w:val="0"/>
        <w:wordWrap/>
        <w:overflowPunct/>
        <w:topLinePunct w:val="0"/>
        <w:bidi w:val="0"/>
        <w:spacing w:line="560" w:lineRule="exact"/>
        <w:ind w:firstLine="1890" w:firstLineChars="700"/>
        <w:jc w:val="both"/>
        <w:rPr>
          <w:rFonts w:hint="eastAsia" w:ascii="黑体" w:hAnsi="黑体" w:eastAsia="黑体" w:cs="黑体"/>
          <w:b w:val="0"/>
          <w:bCs w:val="0"/>
          <w:spacing w:val="-5"/>
          <w:sz w:val="28"/>
          <w:szCs w:val="28"/>
          <w:lang w:eastAsia="zh-CN"/>
        </w:rPr>
      </w:pPr>
      <w:r>
        <w:rPr>
          <w:rFonts w:hint="eastAsia" w:ascii="黑体" w:hAnsi="黑体" w:eastAsia="黑体" w:cs="黑体"/>
          <w:b w:val="0"/>
          <w:bCs w:val="0"/>
          <w:spacing w:val="-5"/>
          <w:sz w:val="28"/>
          <w:szCs w:val="28"/>
          <w:lang w:eastAsia="zh-CN"/>
        </w:rPr>
        <w:t>遂宁市河东新区财政金融国资管理局</w:t>
      </w:r>
    </w:p>
    <w:p w14:paraId="1401AB59">
      <w:pPr>
        <w:pageBreakBefore w:val="0"/>
        <w:wordWrap/>
        <w:overflowPunct/>
        <w:topLinePunct w:val="0"/>
        <w:bidi w:val="0"/>
        <w:spacing w:line="560" w:lineRule="exact"/>
        <w:ind w:firstLine="3240" w:firstLineChars="1200"/>
        <w:jc w:val="both"/>
        <w:rPr>
          <w:rFonts w:hint="eastAsia" w:ascii="黑体" w:hAnsi="黑体" w:eastAsia="黑体" w:cs="黑体"/>
          <w:b w:val="0"/>
          <w:bCs w:val="0"/>
          <w:sz w:val="28"/>
          <w:szCs w:val="28"/>
        </w:rPr>
      </w:pPr>
      <w:r>
        <w:rPr>
          <w:rFonts w:hint="eastAsia" w:ascii="黑体" w:hAnsi="黑体" w:eastAsia="黑体" w:cs="黑体"/>
          <w:b w:val="0"/>
          <w:bCs w:val="0"/>
          <w:spacing w:val="-5"/>
          <w:sz w:val="28"/>
          <w:szCs w:val="28"/>
        </w:rPr>
        <w:t>2023</w:t>
      </w:r>
      <w:r>
        <w:rPr>
          <w:rFonts w:hint="eastAsia" w:ascii="黑体" w:hAnsi="黑体" w:eastAsia="黑体" w:cs="黑体"/>
          <w:b w:val="0"/>
          <w:bCs w:val="0"/>
          <w:spacing w:val="-5"/>
          <w:sz w:val="28"/>
          <w:szCs w:val="28"/>
          <w:lang w:val="en-US" w:eastAsia="zh-CN"/>
        </w:rPr>
        <w:t xml:space="preserve"> </w:t>
      </w:r>
      <w:r>
        <w:rPr>
          <w:rFonts w:hint="eastAsia" w:ascii="黑体" w:hAnsi="黑体" w:eastAsia="黑体" w:cs="黑体"/>
          <w:b w:val="0"/>
          <w:bCs w:val="0"/>
          <w:spacing w:val="-5"/>
          <w:sz w:val="28"/>
          <w:szCs w:val="28"/>
          <w14:textOutline w14:w="3810" w14:cap="flat" w14:cmpd="sng">
            <w14:solidFill>
              <w14:srgbClr w14:val="000000"/>
            </w14:solidFill>
            <w14:prstDash w14:val="solid"/>
            <w14:miter w14:val="0"/>
          </w14:textOutline>
        </w:rPr>
        <w:t>年</w:t>
      </w:r>
      <w:r>
        <w:rPr>
          <w:rFonts w:hint="eastAsia" w:ascii="黑体" w:hAnsi="黑体" w:eastAsia="黑体" w:cs="黑体"/>
          <w:b w:val="0"/>
          <w:bCs w:val="0"/>
          <w:spacing w:val="-5"/>
          <w:sz w:val="28"/>
          <w:szCs w:val="28"/>
          <w:lang w:val="en-US" w:eastAsia="zh-CN"/>
          <w14:textOutline w14:w="3810" w14:cap="flat" w14:cmpd="sng">
            <w14:solidFill>
              <w14:srgbClr w14:val="000000"/>
            </w14:solidFill>
            <w14:prstDash w14:val="solid"/>
            <w14:miter w14:val="0"/>
          </w14:textOutline>
        </w:rPr>
        <w:t xml:space="preserve"> </w:t>
      </w:r>
      <w:r>
        <w:rPr>
          <w:rFonts w:hint="eastAsia" w:ascii="黑体" w:hAnsi="黑体" w:eastAsia="黑体" w:cs="黑体"/>
          <w:b w:val="0"/>
          <w:bCs w:val="0"/>
          <w:spacing w:val="-5"/>
          <w:sz w:val="28"/>
          <w:szCs w:val="28"/>
          <w:lang w:val="en-US" w:eastAsia="zh-CN"/>
        </w:rPr>
        <w:t xml:space="preserve">8 </w:t>
      </w:r>
      <w:r>
        <w:rPr>
          <w:rFonts w:hint="eastAsia" w:ascii="黑体" w:hAnsi="黑体" w:eastAsia="黑体" w:cs="黑体"/>
          <w:b w:val="0"/>
          <w:bCs w:val="0"/>
          <w:spacing w:val="-5"/>
          <w:sz w:val="28"/>
          <w:szCs w:val="28"/>
          <w14:textOutline w14:w="3810" w14:cap="flat" w14:cmpd="sng">
            <w14:solidFill>
              <w14:srgbClr w14:val="000000"/>
            </w14:solidFill>
            <w14:prstDash w14:val="solid"/>
            <w14:miter w14:val="0"/>
          </w14:textOutline>
        </w:rPr>
        <w:t>月</w:t>
      </w:r>
    </w:p>
    <w:p w14:paraId="2905F15E">
      <w:pPr>
        <w:pageBreakBefore w:val="0"/>
        <w:wordWrap/>
        <w:overflowPunct/>
        <w:topLinePunct w:val="0"/>
        <w:bidi w:val="0"/>
        <w:spacing w:line="560" w:lineRule="exact"/>
        <w:jc w:val="center"/>
        <w:rPr>
          <w:rFonts w:hint="eastAsia" w:ascii="黑体" w:hAnsi="黑体" w:eastAsia="黑体" w:cs="黑体"/>
          <w:b w:val="0"/>
          <w:bCs w:val="0"/>
          <w:sz w:val="28"/>
          <w:szCs w:val="28"/>
        </w:rPr>
        <w:sectPr>
          <w:pgSz w:w="11905" w:h="16840"/>
          <w:pgMar w:top="1431" w:right="1785" w:bottom="0" w:left="1785" w:header="0" w:footer="0" w:gutter="0"/>
          <w:cols w:space="720" w:num="1"/>
        </w:sectPr>
      </w:pPr>
    </w:p>
    <w:p w14:paraId="5B36B3DA">
      <w:pPr>
        <w:pStyle w:val="8"/>
        <w:pageBreakBefore w:val="0"/>
        <w:wordWrap/>
        <w:overflowPunct/>
        <w:topLinePunct w:val="0"/>
        <w:bidi w:val="0"/>
        <w:spacing w:line="560" w:lineRule="exact"/>
        <w:rPr>
          <w:rFonts w:hint="eastAsia" w:ascii="黑体" w:hAnsi="黑体" w:eastAsia="黑体" w:cs="黑体"/>
          <w:b w:val="0"/>
          <w:bCs w:val="0"/>
          <w:sz w:val="28"/>
          <w:szCs w:val="28"/>
        </w:rPr>
      </w:pPr>
    </w:p>
    <w:p w14:paraId="3EC61C4D">
      <w:pPr>
        <w:pageBreakBefore w:val="0"/>
        <w:wordWrap/>
        <w:overflowPunct/>
        <w:topLinePunct w:val="0"/>
        <w:bidi w:val="0"/>
        <w:spacing w:before="240" w:line="560" w:lineRule="exact"/>
        <w:ind w:firstLine="2942" w:firstLineChars="800"/>
        <w:rPr>
          <w:rFonts w:hint="eastAsia" w:ascii="方正小标宋简体" w:hAnsi="方正小标宋简体" w:eastAsia="方正小标宋简体" w:cs="方正小标宋简体"/>
          <w:b/>
          <w:bCs/>
          <w:sz w:val="44"/>
          <w:szCs w:val="44"/>
          <w:lang w:val="en-US" w:eastAsia="zh-CN"/>
        </w:rPr>
      </w:pPr>
      <w:r>
        <w:rPr>
          <w:rFonts w:hint="eastAsia" w:ascii="方正小标宋简体" w:hAnsi="方正小标宋简体" w:eastAsia="方正小标宋简体" w:cs="方正小标宋简体"/>
          <w:b/>
          <w:bCs/>
          <w:spacing w:val="-37"/>
          <w:sz w:val="44"/>
          <w:szCs w:val="44"/>
          <w14:textOutline w14:w="6350" w14:cap="flat" w14:cmpd="sng">
            <w14:solidFill>
              <w14:srgbClr w14:val="000000"/>
            </w14:solidFill>
            <w14:prstDash w14:val="solid"/>
            <w14:miter w14:val="0"/>
          </w14:textOutline>
        </w:rPr>
        <w:t>目</w:t>
      </w:r>
      <w:r>
        <w:rPr>
          <w:rFonts w:hint="eastAsia" w:ascii="方正小标宋简体" w:hAnsi="方正小标宋简体" w:eastAsia="方正小标宋简体" w:cs="方正小标宋简体"/>
          <w:b/>
          <w:bCs/>
          <w:spacing w:val="6"/>
          <w:sz w:val="44"/>
          <w:szCs w:val="44"/>
        </w:rPr>
        <w:t xml:space="preserve"> </w:t>
      </w:r>
      <w:r>
        <w:rPr>
          <w:rFonts w:hint="eastAsia" w:ascii="方正小标宋简体" w:hAnsi="方正小标宋简体" w:eastAsia="方正小标宋简体" w:cs="方正小标宋简体"/>
          <w:b/>
          <w:bCs/>
          <w:spacing w:val="6"/>
          <w:sz w:val="44"/>
          <w:szCs w:val="44"/>
          <w:lang w:val="en-US" w:eastAsia="zh-CN"/>
        </w:rPr>
        <w:t xml:space="preserve">     录</w:t>
      </w:r>
    </w:p>
    <w:p w14:paraId="4DAF4172">
      <w:pPr>
        <w:keepNext w:val="0"/>
        <w:keepLines w:val="0"/>
        <w:pageBreakBefore w:val="0"/>
        <w:widowControl/>
        <w:numPr>
          <w:ilvl w:val="0"/>
          <w:numId w:val="0"/>
        </w:numPr>
        <w:wordWrap/>
        <w:overflowPunct/>
        <w:topLinePunct w:val="0"/>
        <w:bidi w:val="0"/>
        <w:adjustRightInd w:val="0"/>
        <w:snapToGrid w:val="0"/>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1.遂宁市河东实验小学校2021年部门整体支出绩效评价报告</w:t>
      </w:r>
    </w:p>
    <w:p w14:paraId="7355E64C">
      <w:pPr>
        <w:keepNext w:val="0"/>
        <w:keepLines w:val="0"/>
        <w:pageBreakBefore w:val="0"/>
        <w:widowControl/>
        <w:numPr>
          <w:ilvl w:val="0"/>
          <w:numId w:val="0"/>
        </w:numPr>
        <w:wordWrap/>
        <w:overflowPunct/>
        <w:topLinePunct w:val="0"/>
        <w:bidi w:val="0"/>
        <w:adjustRightInd w:val="0"/>
        <w:snapToGrid w:val="0"/>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2.遂宁市洋渡实验小学校2021年部门整体支出绩效评价报告</w:t>
      </w:r>
    </w:p>
    <w:p w14:paraId="32BC77B2">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 w:hAnsi="仿宋" w:eastAsia="仿宋" w:cs="仿宋"/>
          <w:b w:val="0"/>
          <w:bCs/>
          <w:color w:val="auto"/>
          <w:sz w:val="32"/>
          <w:szCs w:val="32"/>
        </w:rPr>
      </w:pPr>
      <w:r>
        <w:rPr>
          <w:rFonts w:hint="eastAsia" w:ascii="仿宋" w:hAnsi="仿宋" w:eastAsia="仿宋" w:cs="仿宋"/>
          <w:sz w:val="32"/>
          <w:szCs w:val="32"/>
          <w:lang w:val="en-US" w:eastAsia="zh-CN"/>
        </w:rPr>
        <w:t>3.</w:t>
      </w:r>
      <w:r>
        <w:rPr>
          <w:rFonts w:hint="eastAsia" w:ascii="仿宋" w:hAnsi="仿宋" w:eastAsia="仿宋" w:cs="仿宋"/>
          <w:b w:val="0"/>
          <w:bCs/>
          <w:color w:val="auto"/>
          <w:sz w:val="32"/>
          <w:szCs w:val="32"/>
          <w:lang w:val="en-US" w:eastAsia="zh-CN"/>
        </w:rPr>
        <w:t>遂宁市河东新区紫竹路小学校2021年</w:t>
      </w:r>
      <w:r>
        <w:rPr>
          <w:rFonts w:hint="eastAsia" w:ascii="仿宋" w:hAnsi="仿宋" w:eastAsia="仿宋" w:cs="仿宋"/>
          <w:b w:val="0"/>
          <w:bCs/>
          <w:color w:val="auto"/>
          <w:sz w:val="32"/>
          <w:szCs w:val="32"/>
        </w:rPr>
        <w:t>部门整体支出绩效评价报告</w:t>
      </w:r>
    </w:p>
    <w:p w14:paraId="716DF27F">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 w:hAnsi="仿宋" w:eastAsia="仿宋" w:cs="仿宋"/>
          <w:b w:val="0"/>
          <w:bCs/>
          <w:color w:val="auto"/>
          <w:sz w:val="32"/>
          <w:szCs w:val="32"/>
          <w:lang w:val="en-US" w:eastAsia="zh-CN"/>
        </w:rPr>
      </w:pPr>
      <w:r>
        <w:rPr>
          <w:rFonts w:hint="eastAsia" w:ascii="仿宋" w:hAnsi="仿宋" w:eastAsia="仿宋" w:cs="仿宋"/>
          <w:b w:val="0"/>
          <w:bCs/>
          <w:color w:val="auto"/>
          <w:sz w:val="32"/>
          <w:szCs w:val="32"/>
          <w:lang w:val="en-US" w:eastAsia="zh-CN"/>
        </w:rPr>
        <w:t>4.遂宁市河东新区紫竹路幼儿园2021年部门整体支出绩效评价报告</w:t>
      </w:r>
    </w:p>
    <w:p w14:paraId="06847A47">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 w:hAnsi="仿宋" w:eastAsia="仿宋" w:cs="仿宋"/>
          <w:b w:val="0"/>
          <w:bCs/>
          <w:color w:val="auto"/>
          <w:sz w:val="32"/>
          <w:szCs w:val="32"/>
          <w:lang w:val="en-US" w:eastAsia="zh-CN"/>
        </w:rPr>
      </w:pPr>
      <w:r>
        <w:rPr>
          <w:rFonts w:hint="eastAsia" w:ascii="仿宋" w:hAnsi="仿宋" w:eastAsia="仿宋" w:cs="仿宋"/>
          <w:b w:val="0"/>
          <w:bCs/>
          <w:color w:val="auto"/>
          <w:sz w:val="32"/>
          <w:szCs w:val="32"/>
          <w:lang w:val="en-US" w:eastAsia="zh-CN"/>
        </w:rPr>
        <w:t>5.遂宁市市场监督管理局河东新区分局2021年部门整体支出绩效评价报告</w:t>
      </w:r>
    </w:p>
    <w:p w14:paraId="3EF1FBD0">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jc w:val="both"/>
        <w:textAlignment w:val="auto"/>
        <w:rPr>
          <w:rFonts w:hint="default" w:ascii="仿宋" w:hAnsi="仿宋" w:eastAsia="仿宋" w:cs="仿宋"/>
          <w:b w:val="0"/>
          <w:bCs/>
          <w:color w:val="auto"/>
          <w:sz w:val="32"/>
          <w:szCs w:val="32"/>
          <w:lang w:val="en-US" w:eastAsia="zh-CN"/>
        </w:rPr>
      </w:pPr>
      <w:r>
        <w:rPr>
          <w:rFonts w:hint="eastAsia" w:ascii="仿宋" w:hAnsi="仿宋" w:eastAsia="仿宋" w:cs="仿宋"/>
          <w:b w:val="0"/>
          <w:bCs/>
          <w:color w:val="auto"/>
          <w:sz w:val="32"/>
          <w:szCs w:val="32"/>
          <w:lang w:val="en-US" w:eastAsia="zh-CN"/>
        </w:rPr>
        <w:t>6.遂宁市河东新区房屋征收事务中心2021年部门整体支出绩效评价报告</w:t>
      </w:r>
    </w:p>
    <w:p w14:paraId="170CFEBF">
      <w:pPr>
        <w:pStyle w:val="2"/>
        <w:keepNext w:val="0"/>
        <w:keepLines w:val="0"/>
        <w:pageBreakBefore w:val="0"/>
        <w:widowControl/>
        <w:wordWrap/>
        <w:overflowPunct/>
        <w:topLinePunct w:val="0"/>
        <w:bidi w:val="0"/>
        <w:adjustRightInd w:val="0"/>
        <w:snapToGrid w:val="0"/>
        <w:spacing w:line="560" w:lineRule="exact"/>
        <w:rPr>
          <w:rFonts w:hint="default"/>
          <w:lang w:val="en-US" w:eastAsia="zh-CN"/>
        </w:rPr>
      </w:pPr>
    </w:p>
    <w:p w14:paraId="28615550">
      <w:pPr>
        <w:keepNext w:val="0"/>
        <w:keepLines w:val="0"/>
        <w:pageBreakBefore w:val="0"/>
        <w:widowControl/>
        <w:kinsoku/>
        <w:wordWrap/>
        <w:overflowPunct/>
        <w:topLinePunct w:val="0"/>
        <w:autoSpaceDE/>
        <w:autoSpaceDN/>
        <w:bidi w:val="0"/>
        <w:adjustRightInd w:val="0"/>
        <w:snapToGrid w:val="0"/>
        <w:spacing w:line="560" w:lineRule="exact"/>
        <w:ind w:firstLine="0" w:firstLineChars="0"/>
        <w:jc w:val="center"/>
        <w:textAlignment w:val="auto"/>
        <w:outlineLvl w:val="0"/>
        <w:rPr>
          <w:rFonts w:ascii="Times New Roman" w:hAnsi="Times New Roman" w:eastAsia="小标宋" w:cs="Times New Roman"/>
          <w:b/>
          <w:color w:val="auto"/>
          <w:sz w:val="44"/>
          <w:szCs w:val="44"/>
        </w:rPr>
      </w:pPr>
      <w:bookmarkStart w:id="0" w:name="_Toc4462"/>
      <w:bookmarkStart w:id="1" w:name="_Toc31889"/>
      <w:bookmarkStart w:id="2" w:name="_Toc17360"/>
      <w:bookmarkStart w:id="3" w:name="_Toc20775"/>
      <w:bookmarkStart w:id="4" w:name="_Toc21307"/>
      <w:bookmarkStart w:id="5" w:name="_Toc23196"/>
    </w:p>
    <w:p w14:paraId="35ECE4F6">
      <w:pPr>
        <w:keepNext w:val="0"/>
        <w:keepLines w:val="0"/>
        <w:pageBreakBefore w:val="0"/>
        <w:widowControl/>
        <w:kinsoku/>
        <w:wordWrap/>
        <w:overflowPunct/>
        <w:topLinePunct w:val="0"/>
        <w:autoSpaceDE/>
        <w:autoSpaceDN/>
        <w:bidi w:val="0"/>
        <w:adjustRightInd w:val="0"/>
        <w:snapToGrid w:val="0"/>
        <w:spacing w:line="560" w:lineRule="exact"/>
        <w:ind w:firstLine="0" w:firstLineChars="0"/>
        <w:jc w:val="center"/>
        <w:textAlignment w:val="auto"/>
        <w:outlineLvl w:val="0"/>
        <w:rPr>
          <w:rFonts w:ascii="Times New Roman" w:hAnsi="Times New Roman" w:eastAsia="小标宋" w:cs="Times New Roman"/>
          <w:b/>
          <w:color w:val="auto"/>
          <w:sz w:val="44"/>
          <w:szCs w:val="44"/>
        </w:rPr>
      </w:pPr>
    </w:p>
    <w:p w14:paraId="08F05DAC">
      <w:pPr>
        <w:keepNext w:val="0"/>
        <w:keepLines w:val="0"/>
        <w:pageBreakBefore w:val="0"/>
        <w:widowControl/>
        <w:kinsoku/>
        <w:wordWrap/>
        <w:overflowPunct/>
        <w:topLinePunct w:val="0"/>
        <w:autoSpaceDE/>
        <w:autoSpaceDN/>
        <w:bidi w:val="0"/>
        <w:adjustRightInd w:val="0"/>
        <w:snapToGrid w:val="0"/>
        <w:spacing w:line="560" w:lineRule="exact"/>
        <w:ind w:firstLine="0" w:firstLineChars="0"/>
        <w:jc w:val="center"/>
        <w:textAlignment w:val="auto"/>
        <w:outlineLvl w:val="0"/>
        <w:rPr>
          <w:rFonts w:ascii="Times New Roman" w:hAnsi="Times New Roman" w:eastAsia="小标宋" w:cs="Times New Roman"/>
          <w:b/>
          <w:color w:val="auto"/>
          <w:sz w:val="44"/>
          <w:szCs w:val="44"/>
        </w:rPr>
      </w:pPr>
    </w:p>
    <w:p w14:paraId="0BE18EE5">
      <w:pPr>
        <w:keepNext w:val="0"/>
        <w:keepLines w:val="0"/>
        <w:pageBreakBefore w:val="0"/>
        <w:widowControl/>
        <w:kinsoku/>
        <w:wordWrap/>
        <w:overflowPunct/>
        <w:topLinePunct w:val="0"/>
        <w:autoSpaceDE/>
        <w:autoSpaceDN/>
        <w:bidi w:val="0"/>
        <w:adjustRightInd w:val="0"/>
        <w:snapToGrid w:val="0"/>
        <w:spacing w:line="560" w:lineRule="exact"/>
        <w:ind w:firstLine="0" w:firstLineChars="0"/>
        <w:jc w:val="center"/>
        <w:textAlignment w:val="auto"/>
        <w:outlineLvl w:val="0"/>
        <w:rPr>
          <w:rFonts w:ascii="Times New Roman" w:hAnsi="Times New Roman" w:eastAsia="小标宋" w:cs="Times New Roman"/>
          <w:b/>
          <w:color w:val="auto"/>
          <w:sz w:val="44"/>
          <w:szCs w:val="44"/>
        </w:rPr>
      </w:pPr>
    </w:p>
    <w:p w14:paraId="171E758A">
      <w:pPr>
        <w:keepNext w:val="0"/>
        <w:keepLines w:val="0"/>
        <w:pageBreakBefore w:val="0"/>
        <w:widowControl/>
        <w:kinsoku/>
        <w:wordWrap/>
        <w:overflowPunct/>
        <w:topLinePunct w:val="0"/>
        <w:autoSpaceDE/>
        <w:autoSpaceDN/>
        <w:bidi w:val="0"/>
        <w:adjustRightInd w:val="0"/>
        <w:snapToGrid w:val="0"/>
        <w:spacing w:line="560" w:lineRule="exact"/>
        <w:ind w:firstLine="0" w:firstLineChars="0"/>
        <w:jc w:val="center"/>
        <w:textAlignment w:val="auto"/>
        <w:outlineLvl w:val="0"/>
        <w:rPr>
          <w:rFonts w:ascii="Times New Roman" w:hAnsi="Times New Roman" w:eastAsia="小标宋" w:cs="Times New Roman"/>
          <w:b/>
          <w:color w:val="auto"/>
          <w:sz w:val="44"/>
          <w:szCs w:val="44"/>
        </w:rPr>
      </w:pPr>
    </w:p>
    <w:p w14:paraId="7E4897F6">
      <w:pPr>
        <w:keepNext w:val="0"/>
        <w:keepLines w:val="0"/>
        <w:pageBreakBefore w:val="0"/>
        <w:widowControl/>
        <w:kinsoku/>
        <w:wordWrap/>
        <w:overflowPunct/>
        <w:topLinePunct w:val="0"/>
        <w:autoSpaceDE/>
        <w:autoSpaceDN/>
        <w:bidi w:val="0"/>
        <w:adjustRightInd w:val="0"/>
        <w:snapToGrid w:val="0"/>
        <w:spacing w:line="560" w:lineRule="exact"/>
        <w:ind w:firstLine="0" w:firstLineChars="0"/>
        <w:jc w:val="center"/>
        <w:textAlignment w:val="auto"/>
        <w:outlineLvl w:val="0"/>
        <w:rPr>
          <w:rFonts w:ascii="Times New Roman" w:hAnsi="Times New Roman" w:eastAsia="小标宋" w:cs="Times New Roman"/>
          <w:b/>
          <w:color w:val="auto"/>
          <w:sz w:val="44"/>
          <w:szCs w:val="44"/>
        </w:rPr>
      </w:pPr>
    </w:p>
    <w:p w14:paraId="317FEBC8">
      <w:pPr>
        <w:keepNext w:val="0"/>
        <w:keepLines w:val="0"/>
        <w:pageBreakBefore w:val="0"/>
        <w:widowControl/>
        <w:kinsoku/>
        <w:wordWrap/>
        <w:overflowPunct/>
        <w:topLinePunct w:val="0"/>
        <w:autoSpaceDE/>
        <w:autoSpaceDN/>
        <w:bidi w:val="0"/>
        <w:adjustRightInd w:val="0"/>
        <w:snapToGrid w:val="0"/>
        <w:spacing w:line="560" w:lineRule="exact"/>
        <w:ind w:firstLine="0" w:firstLineChars="0"/>
        <w:jc w:val="center"/>
        <w:textAlignment w:val="auto"/>
        <w:outlineLvl w:val="0"/>
        <w:rPr>
          <w:rFonts w:ascii="Times New Roman" w:hAnsi="Times New Roman" w:eastAsia="小标宋" w:cs="Times New Roman"/>
          <w:b/>
          <w:color w:val="auto"/>
          <w:sz w:val="44"/>
          <w:szCs w:val="44"/>
        </w:rPr>
      </w:pPr>
    </w:p>
    <w:p w14:paraId="3BC29A09">
      <w:pPr>
        <w:keepNext w:val="0"/>
        <w:keepLines w:val="0"/>
        <w:pageBreakBefore w:val="0"/>
        <w:widowControl/>
        <w:kinsoku/>
        <w:wordWrap/>
        <w:overflowPunct/>
        <w:topLinePunct w:val="0"/>
        <w:autoSpaceDE/>
        <w:autoSpaceDN/>
        <w:bidi w:val="0"/>
        <w:adjustRightInd w:val="0"/>
        <w:snapToGrid w:val="0"/>
        <w:spacing w:line="560" w:lineRule="exact"/>
        <w:ind w:firstLine="0" w:firstLineChars="0"/>
        <w:jc w:val="center"/>
        <w:textAlignment w:val="auto"/>
        <w:outlineLvl w:val="0"/>
        <w:rPr>
          <w:rFonts w:ascii="Times New Roman" w:hAnsi="Times New Roman" w:eastAsia="小标宋" w:cs="Times New Roman"/>
          <w:b/>
          <w:color w:val="auto"/>
          <w:sz w:val="44"/>
          <w:szCs w:val="44"/>
        </w:rPr>
      </w:pPr>
    </w:p>
    <w:p w14:paraId="1E5118E0">
      <w:pPr>
        <w:keepNext w:val="0"/>
        <w:keepLines w:val="0"/>
        <w:pageBreakBefore w:val="0"/>
        <w:widowControl/>
        <w:kinsoku/>
        <w:wordWrap/>
        <w:overflowPunct/>
        <w:topLinePunct w:val="0"/>
        <w:autoSpaceDE/>
        <w:autoSpaceDN/>
        <w:bidi w:val="0"/>
        <w:adjustRightInd w:val="0"/>
        <w:snapToGrid w:val="0"/>
        <w:spacing w:line="560" w:lineRule="exact"/>
        <w:ind w:firstLine="0" w:firstLineChars="0"/>
        <w:jc w:val="center"/>
        <w:textAlignment w:val="auto"/>
        <w:outlineLvl w:val="0"/>
        <w:rPr>
          <w:rFonts w:ascii="Times New Roman" w:hAnsi="Times New Roman" w:eastAsia="小标宋" w:cs="Times New Roman"/>
          <w:b/>
          <w:color w:val="auto"/>
          <w:sz w:val="44"/>
          <w:szCs w:val="44"/>
        </w:rPr>
      </w:pPr>
    </w:p>
    <w:p w14:paraId="5C6FB8E1">
      <w:pPr>
        <w:keepNext w:val="0"/>
        <w:keepLines w:val="0"/>
        <w:pageBreakBefore w:val="0"/>
        <w:widowControl/>
        <w:kinsoku/>
        <w:wordWrap/>
        <w:overflowPunct/>
        <w:topLinePunct w:val="0"/>
        <w:autoSpaceDE/>
        <w:autoSpaceDN/>
        <w:bidi w:val="0"/>
        <w:adjustRightInd w:val="0"/>
        <w:snapToGrid w:val="0"/>
        <w:spacing w:line="560" w:lineRule="exact"/>
        <w:ind w:firstLine="0" w:firstLineChars="0"/>
        <w:jc w:val="center"/>
        <w:textAlignment w:val="auto"/>
        <w:outlineLvl w:val="0"/>
        <w:rPr>
          <w:rFonts w:ascii="Times New Roman" w:hAnsi="Times New Roman" w:eastAsia="小标宋" w:cs="Times New Roman"/>
          <w:b/>
          <w:color w:val="auto"/>
          <w:sz w:val="44"/>
          <w:szCs w:val="44"/>
        </w:rPr>
      </w:pPr>
    </w:p>
    <w:p w14:paraId="4173CB4F">
      <w:pPr>
        <w:keepNext w:val="0"/>
        <w:keepLines w:val="0"/>
        <w:pageBreakBefore w:val="0"/>
        <w:widowControl/>
        <w:kinsoku/>
        <w:wordWrap/>
        <w:overflowPunct/>
        <w:topLinePunct w:val="0"/>
        <w:autoSpaceDE/>
        <w:autoSpaceDN/>
        <w:bidi w:val="0"/>
        <w:adjustRightInd w:val="0"/>
        <w:snapToGrid w:val="0"/>
        <w:spacing w:line="560" w:lineRule="exact"/>
        <w:ind w:firstLine="0" w:firstLineChars="0"/>
        <w:jc w:val="center"/>
        <w:textAlignment w:val="auto"/>
        <w:outlineLvl w:val="0"/>
        <w:rPr>
          <w:rFonts w:ascii="Times New Roman" w:hAnsi="Times New Roman" w:eastAsia="小标宋" w:cs="Times New Roman"/>
          <w:b/>
          <w:color w:val="auto"/>
          <w:sz w:val="44"/>
          <w:szCs w:val="44"/>
        </w:rPr>
      </w:pPr>
    </w:p>
    <w:p w14:paraId="70DCC848">
      <w:pPr>
        <w:keepNext w:val="0"/>
        <w:keepLines w:val="0"/>
        <w:pageBreakBefore w:val="0"/>
        <w:widowControl/>
        <w:kinsoku/>
        <w:wordWrap/>
        <w:overflowPunct/>
        <w:topLinePunct w:val="0"/>
        <w:autoSpaceDE/>
        <w:autoSpaceDN/>
        <w:bidi w:val="0"/>
        <w:adjustRightInd w:val="0"/>
        <w:snapToGrid w:val="0"/>
        <w:spacing w:line="560" w:lineRule="exact"/>
        <w:ind w:firstLine="0" w:firstLineChars="0"/>
        <w:jc w:val="center"/>
        <w:textAlignment w:val="auto"/>
        <w:outlineLvl w:val="0"/>
        <w:rPr>
          <w:rFonts w:hint="eastAsia" w:ascii="Times New Roman" w:hAnsi="Times New Roman" w:eastAsia="小标宋" w:cs="Times New Roman"/>
          <w:b/>
          <w:color w:val="auto"/>
          <w:sz w:val="44"/>
          <w:szCs w:val="44"/>
          <w:lang w:val="en-US" w:eastAsia="zh-CN"/>
        </w:rPr>
      </w:pPr>
      <w:r>
        <w:rPr>
          <w:rFonts w:ascii="Times New Roman" w:hAnsi="Times New Roman" w:eastAsia="小标宋" w:cs="Times New Roman"/>
          <w:b/>
          <w:color w:val="auto"/>
          <w:sz w:val="44"/>
          <w:szCs w:val="44"/>
        </w:rPr>
        <w:t>20</w:t>
      </w:r>
      <w:r>
        <w:rPr>
          <w:rFonts w:hint="eastAsia" w:ascii="Times New Roman" w:hAnsi="Times New Roman" w:eastAsia="小标宋" w:cs="Times New Roman"/>
          <w:b/>
          <w:color w:val="auto"/>
          <w:sz w:val="44"/>
          <w:szCs w:val="44"/>
          <w:lang w:val="en-US" w:eastAsia="zh-CN"/>
        </w:rPr>
        <w:t>21</w:t>
      </w:r>
      <w:r>
        <w:rPr>
          <w:rFonts w:ascii="Times New Roman" w:hAnsi="Times New Roman" w:eastAsia="小标宋" w:cs="Times New Roman"/>
          <w:b/>
          <w:color w:val="auto"/>
          <w:sz w:val="44"/>
          <w:szCs w:val="44"/>
        </w:rPr>
        <w:t>年</w:t>
      </w:r>
      <w:r>
        <w:rPr>
          <w:rFonts w:hint="eastAsia" w:ascii="Times New Roman" w:hAnsi="Times New Roman" w:eastAsia="小标宋" w:cs="Times New Roman"/>
          <w:b/>
          <w:color w:val="auto"/>
          <w:sz w:val="44"/>
          <w:szCs w:val="44"/>
          <w:lang w:val="en-US" w:eastAsia="zh-CN"/>
        </w:rPr>
        <w:t>遂宁市河东新区</w:t>
      </w:r>
      <w:bookmarkEnd w:id="0"/>
      <w:r>
        <w:rPr>
          <w:rFonts w:hint="eastAsia" w:ascii="Times New Roman" w:hAnsi="Times New Roman" w:eastAsia="小标宋" w:cs="Times New Roman"/>
          <w:b/>
          <w:color w:val="auto"/>
          <w:sz w:val="44"/>
          <w:szCs w:val="44"/>
          <w:lang w:val="en-US" w:eastAsia="zh-CN"/>
        </w:rPr>
        <w:t>河东实验小学校</w:t>
      </w:r>
    </w:p>
    <w:p w14:paraId="08DAF8C6">
      <w:pPr>
        <w:keepNext w:val="0"/>
        <w:keepLines w:val="0"/>
        <w:pageBreakBefore w:val="0"/>
        <w:widowControl/>
        <w:kinsoku/>
        <w:wordWrap/>
        <w:overflowPunct/>
        <w:topLinePunct w:val="0"/>
        <w:autoSpaceDE/>
        <w:autoSpaceDN/>
        <w:bidi w:val="0"/>
        <w:adjustRightInd w:val="0"/>
        <w:snapToGrid w:val="0"/>
        <w:spacing w:line="560" w:lineRule="exact"/>
        <w:ind w:firstLine="0" w:firstLineChars="0"/>
        <w:jc w:val="center"/>
        <w:textAlignment w:val="auto"/>
        <w:outlineLvl w:val="0"/>
        <w:rPr>
          <w:rFonts w:ascii="小标宋" w:hAnsi="方正小标宋_GBK" w:eastAsia="小标宋" w:cs="Times New Roman"/>
          <w:b/>
          <w:color w:val="auto"/>
          <w:sz w:val="44"/>
          <w:szCs w:val="44"/>
        </w:rPr>
      </w:pPr>
      <w:bookmarkStart w:id="6" w:name="_Toc31012"/>
      <w:r>
        <w:rPr>
          <w:rFonts w:hint="eastAsia" w:ascii="Times New Roman" w:hAnsi="Times New Roman" w:eastAsia="小标宋" w:cs="Times New Roman"/>
          <w:b/>
          <w:color w:val="auto"/>
          <w:sz w:val="44"/>
          <w:szCs w:val="44"/>
        </w:rPr>
        <w:t>部门整体支出</w:t>
      </w:r>
      <w:bookmarkEnd w:id="1"/>
      <w:bookmarkEnd w:id="2"/>
      <w:bookmarkEnd w:id="3"/>
      <w:bookmarkEnd w:id="4"/>
      <w:bookmarkEnd w:id="5"/>
      <w:bookmarkStart w:id="7" w:name="_Toc29119"/>
      <w:bookmarkStart w:id="8" w:name="_Toc17380"/>
      <w:bookmarkStart w:id="9" w:name="_Toc9110"/>
      <w:bookmarkStart w:id="10" w:name="_Toc8998"/>
      <w:bookmarkStart w:id="11" w:name="_Toc21213"/>
      <w:r>
        <w:rPr>
          <w:rFonts w:hint="eastAsia" w:ascii="Times New Roman" w:hAnsi="Times New Roman" w:eastAsia="小标宋" w:cs="Times New Roman"/>
          <w:b/>
          <w:color w:val="auto"/>
          <w:sz w:val="44"/>
          <w:szCs w:val="44"/>
        </w:rPr>
        <w:t>绩效评价报告</w:t>
      </w:r>
      <w:bookmarkEnd w:id="6"/>
      <w:bookmarkEnd w:id="7"/>
      <w:bookmarkEnd w:id="8"/>
      <w:bookmarkEnd w:id="9"/>
      <w:bookmarkEnd w:id="10"/>
      <w:bookmarkEnd w:id="11"/>
    </w:p>
    <w:p w14:paraId="5594022D">
      <w:pPr>
        <w:pStyle w:val="4"/>
        <w:pageBreakBefore w:val="0"/>
        <w:kinsoku/>
        <w:wordWrap/>
        <w:overflowPunct/>
        <w:topLinePunct w:val="0"/>
        <w:autoSpaceDE/>
        <w:autoSpaceDN/>
        <w:bidi w:val="0"/>
        <w:spacing w:line="560" w:lineRule="exact"/>
        <w:ind w:left="0" w:leftChars="0" w:firstLine="0" w:firstLineChars="0"/>
        <w:textAlignment w:val="auto"/>
        <w:rPr>
          <w:rFonts w:hint="eastAsia"/>
          <w:color w:val="auto"/>
        </w:rPr>
      </w:pPr>
    </w:p>
    <w:p w14:paraId="1DEDE19E">
      <w:pPr>
        <w:pStyle w:val="4"/>
        <w:pageBreakBefore w:val="0"/>
        <w:kinsoku/>
        <w:wordWrap/>
        <w:overflowPunct/>
        <w:topLinePunct w:val="0"/>
        <w:autoSpaceDE/>
        <w:autoSpaceDN/>
        <w:bidi w:val="0"/>
        <w:spacing w:line="560" w:lineRule="exact"/>
        <w:ind w:left="0" w:leftChars="0" w:firstLine="0" w:firstLineChars="0"/>
        <w:textAlignment w:val="auto"/>
        <w:rPr>
          <w:rFonts w:hint="eastAsia"/>
          <w:color w:val="auto"/>
        </w:rPr>
      </w:pPr>
      <w:r>
        <w:rPr>
          <w:rFonts w:hint="eastAsia"/>
          <w:color w:val="auto"/>
        </w:rPr>
        <w:t>遂宁市河东新区财政金融国资管理局：</w:t>
      </w:r>
    </w:p>
    <w:p w14:paraId="3ED596E1">
      <w:pPr>
        <w:pStyle w:val="4"/>
        <w:keepNext w:val="0"/>
        <w:keepLines w:val="0"/>
        <w:pageBreakBefore w:val="0"/>
        <w:widowControl/>
        <w:kinsoku/>
        <w:wordWrap/>
        <w:overflowPunct/>
        <w:topLinePunct w:val="0"/>
        <w:autoSpaceDE/>
        <w:autoSpaceDN/>
        <w:bidi w:val="0"/>
        <w:adjustRightInd w:val="0"/>
        <w:snapToGrid w:val="0"/>
        <w:spacing w:line="640" w:lineRule="exact"/>
        <w:ind w:firstLine="640" w:firstLineChars="200"/>
        <w:textAlignment w:val="auto"/>
        <w:rPr>
          <w:rFonts w:hint="eastAsia"/>
          <w:color w:val="auto"/>
        </w:rPr>
      </w:pPr>
      <w:r>
        <w:rPr>
          <w:rFonts w:hint="eastAsia"/>
          <w:color w:val="auto"/>
        </w:rPr>
        <w:t>我们接受委托，对遂宁市河东新区</w:t>
      </w:r>
      <w:r>
        <w:rPr>
          <w:rFonts w:hint="eastAsia"/>
          <w:color w:val="auto"/>
          <w:lang w:val="en-US" w:eastAsia="zh-CN"/>
        </w:rPr>
        <w:t>实验小学校部门整体</w:t>
      </w:r>
      <w:r>
        <w:rPr>
          <w:rFonts w:hint="eastAsia"/>
          <w:color w:val="auto"/>
        </w:rPr>
        <w:t>进行绩效评价。遂宁市河东新区</w:t>
      </w:r>
      <w:r>
        <w:rPr>
          <w:rFonts w:hint="eastAsia"/>
          <w:color w:val="auto"/>
          <w:lang w:val="en-US" w:eastAsia="zh-CN"/>
        </w:rPr>
        <w:t>河东实验小学校</w:t>
      </w:r>
      <w:r>
        <w:rPr>
          <w:rFonts w:hint="eastAsia"/>
          <w:color w:val="auto"/>
        </w:rPr>
        <w:t>对提供的相关资料的真实性、合法性、完整性负责。我们的责任是在遂宁市河东新区</w:t>
      </w:r>
      <w:r>
        <w:rPr>
          <w:rFonts w:hint="eastAsia"/>
          <w:color w:val="auto"/>
          <w:lang w:val="en-US" w:eastAsia="zh-CN"/>
        </w:rPr>
        <w:t>河东实验小学校</w:t>
      </w:r>
      <w:r>
        <w:rPr>
          <w:rFonts w:hint="eastAsia"/>
          <w:color w:val="auto"/>
        </w:rPr>
        <w:t>提供的资料基础上发表绩效评价意见。我们依据《中共四川省委 四川省人民政府 关于全面实施预算绩效管理的实施意见》（川委发〔2019〕8号）、财政部《项目支出绩效评价管理办法》(财预〔2020〕10号）和四川省财政厅《关于四川省财政支出绩效评价操作规程（试行）》（川财绩〔2018〕2号）、遂宁市河东新区财政金融国资管理局《关于开展2022年财政重点绩效评价工作的通知》（遂东区财发〔2022〕8号）等相关文件规定基础上进行绩效评价工作。</w:t>
      </w:r>
    </w:p>
    <w:p w14:paraId="4635305F">
      <w:pPr>
        <w:pStyle w:val="4"/>
        <w:keepNext w:val="0"/>
        <w:keepLines w:val="0"/>
        <w:pageBreakBefore w:val="0"/>
        <w:widowControl/>
        <w:kinsoku/>
        <w:wordWrap/>
        <w:overflowPunct/>
        <w:topLinePunct w:val="0"/>
        <w:autoSpaceDE/>
        <w:autoSpaceDN/>
        <w:bidi w:val="0"/>
        <w:adjustRightInd w:val="0"/>
        <w:snapToGrid w:val="0"/>
        <w:spacing w:line="640" w:lineRule="exact"/>
        <w:ind w:firstLine="640" w:firstLineChars="200"/>
        <w:textAlignment w:val="auto"/>
        <w:rPr>
          <w:rFonts w:hint="eastAsia"/>
          <w:color w:val="auto"/>
        </w:rPr>
        <w:sectPr>
          <w:footerReference r:id="rId5" w:type="default"/>
          <w:pgSz w:w="11906" w:h="16838"/>
          <w:pgMar w:top="1440" w:right="1489" w:bottom="1440" w:left="1797" w:header="851" w:footer="992" w:gutter="0"/>
          <w:pgNumType w:start="1"/>
          <w:cols w:space="425" w:num="1"/>
          <w:docGrid w:type="lines" w:linePitch="312" w:charSpace="0"/>
        </w:sectPr>
      </w:pPr>
      <w:r>
        <w:rPr>
          <w:rFonts w:hint="eastAsia"/>
          <w:color w:val="auto"/>
        </w:rPr>
        <w:t>在评价过程中，评价组结合该项目的实际情况，实地核查相关内设机构的资料，现将评价情况报告如下：</w:t>
      </w:r>
    </w:p>
    <w:p w14:paraId="0C95BF1A">
      <w:pPr>
        <w:pStyle w:val="3"/>
        <w:pageBreakBefore w:val="0"/>
        <w:kinsoku/>
        <w:wordWrap/>
        <w:overflowPunct/>
        <w:topLinePunct w:val="0"/>
        <w:autoSpaceDE/>
        <w:autoSpaceDN/>
        <w:bidi w:val="0"/>
        <w:spacing w:line="560" w:lineRule="exact"/>
        <w:ind w:left="0" w:firstLine="640" w:firstLineChars="200"/>
        <w:rPr>
          <w:rFonts w:hint="eastAsia"/>
          <w:color w:val="auto"/>
        </w:rPr>
      </w:pPr>
      <w:bookmarkStart w:id="12" w:name="_Toc28003"/>
      <w:bookmarkStart w:id="13" w:name="_Toc2874"/>
      <w:bookmarkStart w:id="14" w:name="_Toc3547"/>
      <w:bookmarkStart w:id="15" w:name="_Toc9570"/>
      <w:bookmarkStart w:id="16" w:name="_Toc21590"/>
      <w:bookmarkStart w:id="17" w:name="_Toc62481754"/>
      <w:bookmarkStart w:id="18" w:name="_Toc28520"/>
      <w:r>
        <w:rPr>
          <w:rFonts w:hint="eastAsia"/>
          <w:color w:val="auto"/>
        </w:rPr>
        <w:t>部门（单位）概况</w:t>
      </w:r>
      <w:bookmarkEnd w:id="12"/>
      <w:bookmarkEnd w:id="13"/>
      <w:bookmarkEnd w:id="14"/>
      <w:bookmarkEnd w:id="15"/>
      <w:bookmarkEnd w:id="16"/>
      <w:bookmarkEnd w:id="17"/>
      <w:bookmarkEnd w:id="18"/>
    </w:p>
    <w:p w14:paraId="5024DC71">
      <w:pPr>
        <w:pStyle w:val="5"/>
        <w:pageBreakBefore w:val="0"/>
        <w:kinsoku/>
        <w:wordWrap/>
        <w:overflowPunct/>
        <w:topLinePunct w:val="0"/>
        <w:autoSpaceDE/>
        <w:autoSpaceDN/>
        <w:bidi w:val="0"/>
        <w:adjustRightInd/>
        <w:spacing w:line="560" w:lineRule="exact"/>
        <w:ind w:firstLine="643" w:firstLineChars="200"/>
        <w:rPr>
          <w:rFonts w:hint="eastAsia"/>
          <w:color w:val="auto"/>
        </w:rPr>
      </w:pPr>
      <w:bookmarkStart w:id="19" w:name="_Toc62481756"/>
      <w:bookmarkStart w:id="20" w:name="_Toc12399"/>
      <w:bookmarkStart w:id="21" w:name="_Toc3071"/>
      <w:bookmarkStart w:id="22" w:name="_Toc12406"/>
      <w:bookmarkStart w:id="23" w:name="_Toc32416"/>
      <w:bookmarkStart w:id="24" w:name="_Toc30233"/>
      <w:bookmarkStart w:id="25" w:name="_Toc62481755"/>
      <w:r>
        <w:rPr>
          <w:rFonts w:hint="eastAsia"/>
          <w:color w:val="auto"/>
        </w:rPr>
        <w:t>机构职能</w:t>
      </w:r>
      <w:bookmarkEnd w:id="19"/>
      <w:bookmarkEnd w:id="20"/>
      <w:bookmarkEnd w:id="21"/>
      <w:bookmarkEnd w:id="22"/>
      <w:bookmarkEnd w:id="23"/>
      <w:bookmarkEnd w:id="24"/>
    </w:p>
    <w:p w14:paraId="655A8973">
      <w:pPr>
        <w:pStyle w:val="4"/>
        <w:pageBreakBefore w:val="0"/>
        <w:kinsoku/>
        <w:wordWrap/>
        <w:overflowPunct/>
        <w:topLinePunct w:val="0"/>
        <w:autoSpaceDE/>
        <w:autoSpaceDN/>
        <w:bidi w:val="0"/>
        <w:spacing w:line="560" w:lineRule="exact"/>
        <w:ind w:firstLine="640" w:firstLineChars="200"/>
        <w:rPr>
          <w:rFonts w:hint="eastAsia" w:ascii="宋体" w:hAnsi="宋体" w:cs="宋体"/>
          <w:b w:val="0"/>
          <w:bCs w:val="0"/>
          <w:color w:val="auto"/>
          <w:szCs w:val="21"/>
          <w:lang w:val="en-US" w:eastAsia="zh-CN"/>
        </w:rPr>
      </w:pPr>
      <w:r>
        <w:rPr>
          <w:rFonts w:hint="eastAsia" w:ascii="宋体" w:hAnsi="宋体" w:cs="宋体"/>
          <w:b w:val="0"/>
          <w:bCs w:val="0"/>
          <w:color w:val="auto"/>
          <w:szCs w:val="21"/>
          <w:lang w:val="en-US" w:eastAsia="zh-CN"/>
        </w:rPr>
        <w:t>遂宁市河东新区实验小学校（以下简称“实验小学”）是遂宁市河东新区公益一类事业单位，主要</w:t>
      </w:r>
      <w:bookmarkEnd w:id="25"/>
      <w:r>
        <w:rPr>
          <w:rFonts w:hint="eastAsia" w:ascii="宋体" w:hAnsi="宋体" w:cs="宋体"/>
          <w:b w:val="0"/>
          <w:bCs w:val="0"/>
          <w:color w:val="auto"/>
          <w:szCs w:val="21"/>
          <w:lang w:val="en-US" w:eastAsia="zh-CN"/>
        </w:rPr>
        <w:t>职责为：</w:t>
      </w:r>
    </w:p>
    <w:p w14:paraId="02DD8513">
      <w:pPr>
        <w:pStyle w:val="4"/>
        <w:pageBreakBefore w:val="0"/>
        <w:kinsoku/>
        <w:wordWrap/>
        <w:overflowPunct/>
        <w:topLinePunct w:val="0"/>
        <w:autoSpaceDE/>
        <w:autoSpaceDN/>
        <w:bidi w:val="0"/>
        <w:spacing w:line="560" w:lineRule="exact"/>
        <w:ind w:firstLine="640" w:firstLineChars="200"/>
        <w:rPr>
          <w:rFonts w:hint="eastAsia" w:ascii="宋体" w:hAnsi="宋体" w:cs="宋体"/>
          <w:b w:val="0"/>
          <w:bCs w:val="0"/>
          <w:color w:val="auto"/>
          <w:szCs w:val="21"/>
          <w:lang w:val="en-US" w:eastAsia="zh-CN"/>
        </w:rPr>
      </w:pPr>
      <w:r>
        <w:rPr>
          <w:rFonts w:hint="eastAsia" w:ascii="宋体" w:hAnsi="宋体" w:cs="宋体"/>
          <w:b w:val="0"/>
          <w:bCs w:val="0"/>
          <w:color w:val="auto"/>
          <w:szCs w:val="21"/>
          <w:lang w:val="en-US" w:eastAsia="zh-CN"/>
        </w:rPr>
        <w:t>1.实施小学义务教育，促进基础教育发展；</w:t>
      </w:r>
    </w:p>
    <w:p w14:paraId="2F25D97F">
      <w:pPr>
        <w:pStyle w:val="4"/>
        <w:pageBreakBefore w:val="0"/>
        <w:kinsoku/>
        <w:wordWrap/>
        <w:overflowPunct/>
        <w:topLinePunct w:val="0"/>
        <w:autoSpaceDE/>
        <w:autoSpaceDN/>
        <w:bidi w:val="0"/>
        <w:spacing w:line="560" w:lineRule="exact"/>
        <w:ind w:firstLine="640" w:firstLineChars="200"/>
        <w:rPr>
          <w:rFonts w:hint="eastAsia" w:ascii="宋体" w:hAnsi="宋体" w:cs="宋体"/>
          <w:b w:val="0"/>
          <w:bCs w:val="0"/>
          <w:color w:val="auto"/>
          <w:szCs w:val="21"/>
          <w:lang w:val="en-US" w:eastAsia="zh-CN"/>
        </w:rPr>
      </w:pPr>
      <w:r>
        <w:rPr>
          <w:rFonts w:hint="eastAsia" w:ascii="宋体" w:hAnsi="宋体" w:cs="宋体"/>
          <w:b w:val="0"/>
          <w:bCs w:val="0"/>
          <w:color w:val="auto"/>
          <w:szCs w:val="21"/>
          <w:lang w:val="en-US" w:eastAsia="zh-CN"/>
        </w:rPr>
        <w:t>2.负责小学学历教育和相关的社会服务。</w:t>
      </w:r>
    </w:p>
    <w:p w14:paraId="490817E0">
      <w:pPr>
        <w:pStyle w:val="5"/>
        <w:pageBreakBefore w:val="0"/>
        <w:kinsoku/>
        <w:wordWrap/>
        <w:overflowPunct/>
        <w:topLinePunct w:val="0"/>
        <w:autoSpaceDE/>
        <w:autoSpaceDN/>
        <w:bidi w:val="0"/>
        <w:adjustRightInd/>
        <w:spacing w:line="560" w:lineRule="exact"/>
        <w:ind w:firstLine="643" w:firstLineChars="200"/>
        <w:rPr>
          <w:color w:val="auto"/>
        </w:rPr>
      </w:pPr>
      <w:bookmarkStart w:id="26" w:name="_Toc10410"/>
      <w:bookmarkStart w:id="27" w:name="_Toc25083"/>
      <w:bookmarkStart w:id="28" w:name="_Toc2508"/>
      <w:bookmarkStart w:id="29" w:name="_Toc31893"/>
      <w:bookmarkStart w:id="30" w:name="_Toc7877"/>
      <w:r>
        <w:rPr>
          <w:rFonts w:hint="eastAsia"/>
          <w:color w:val="auto"/>
        </w:rPr>
        <w:t>机构组成</w:t>
      </w:r>
      <w:bookmarkEnd w:id="26"/>
      <w:bookmarkEnd w:id="27"/>
      <w:bookmarkEnd w:id="28"/>
      <w:bookmarkEnd w:id="29"/>
      <w:bookmarkEnd w:id="30"/>
    </w:p>
    <w:p w14:paraId="4D03CB2E">
      <w:pPr>
        <w:pStyle w:val="4"/>
        <w:pageBreakBefore w:val="0"/>
        <w:kinsoku/>
        <w:wordWrap/>
        <w:overflowPunct/>
        <w:topLinePunct w:val="0"/>
        <w:autoSpaceDE/>
        <w:autoSpaceDN/>
        <w:bidi w:val="0"/>
        <w:spacing w:line="560" w:lineRule="exact"/>
        <w:ind w:firstLine="640" w:firstLineChars="200"/>
        <w:textAlignment w:val="auto"/>
        <w:rPr>
          <w:rFonts w:hint="eastAsia"/>
          <w:color w:val="auto"/>
          <w:lang w:val="en-US" w:eastAsia="zh-CN"/>
        </w:rPr>
      </w:pPr>
      <w:r>
        <w:rPr>
          <w:rFonts w:hint="eastAsia" w:ascii="宋体" w:hAnsi="宋体" w:cs="宋体"/>
          <w:b w:val="0"/>
          <w:bCs w:val="0"/>
          <w:color w:val="auto"/>
          <w:szCs w:val="21"/>
          <w:lang w:val="en-US" w:eastAsia="zh-CN"/>
        </w:rPr>
        <w:t>实验小学</w:t>
      </w:r>
      <w:r>
        <w:rPr>
          <w:rFonts w:hint="eastAsia"/>
          <w:color w:val="auto"/>
          <w:lang w:val="en-US" w:eastAsia="zh-CN"/>
        </w:rPr>
        <w:t>内设学校党支部、校长室、学校办公室和学科学术委员会四个机构，</w:t>
      </w:r>
      <w:r>
        <w:rPr>
          <w:rFonts w:hint="eastAsia" w:ascii="宋体" w:hAnsi="宋体" w:cs="宋体"/>
          <w:b w:val="0"/>
          <w:bCs w:val="0"/>
          <w:color w:val="auto"/>
          <w:szCs w:val="21"/>
          <w:lang w:val="en-US" w:eastAsia="zh-CN"/>
        </w:rPr>
        <w:t>设校长1名，副校长3名。</w:t>
      </w:r>
    </w:p>
    <w:p w14:paraId="37A4B5FD">
      <w:pPr>
        <w:pStyle w:val="5"/>
        <w:pageBreakBefore w:val="0"/>
        <w:kinsoku/>
        <w:wordWrap/>
        <w:overflowPunct/>
        <w:topLinePunct w:val="0"/>
        <w:autoSpaceDE/>
        <w:autoSpaceDN/>
        <w:bidi w:val="0"/>
        <w:spacing w:line="560" w:lineRule="exact"/>
        <w:ind w:left="-13" w:leftChars="0" w:firstLine="643" w:firstLineChars="200"/>
        <w:textAlignment w:val="auto"/>
        <w:rPr>
          <w:color w:val="auto"/>
        </w:rPr>
      </w:pPr>
      <w:bookmarkStart w:id="31" w:name="_Toc13983"/>
      <w:bookmarkStart w:id="32" w:name="_Toc62481757"/>
      <w:bookmarkStart w:id="33" w:name="_Toc794"/>
      <w:bookmarkStart w:id="34" w:name="_Toc31296"/>
      <w:bookmarkStart w:id="35" w:name="_Toc3748"/>
      <w:bookmarkStart w:id="36" w:name="_Toc13423"/>
      <w:r>
        <w:rPr>
          <w:rFonts w:hint="eastAsia"/>
          <w:color w:val="auto"/>
        </w:rPr>
        <w:t>人员概况</w:t>
      </w:r>
      <w:bookmarkEnd w:id="31"/>
      <w:bookmarkEnd w:id="32"/>
      <w:bookmarkEnd w:id="33"/>
      <w:bookmarkEnd w:id="34"/>
      <w:bookmarkEnd w:id="35"/>
      <w:bookmarkEnd w:id="36"/>
    </w:p>
    <w:p w14:paraId="4471B20A">
      <w:pPr>
        <w:pStyle w:val="4"/>
        <w:pageBreakBefore w:val="0"/>
        <w:kinsoku/>
        <w:wordWrap/>
        <w:overflowPunct/>
        <w:topLinePunct w:val="0"/>
        <w:autoSpaceDE/>
        <w:autoSpaceDN/>
        <w:bidi w:val="0"/>
        <w:spacing w:line="560" w:lineRule="exact"/>
        <w:ind w:firstLine="640" w:firstLineChars="200"/>
        <w:textAlignment w:val="auto"/>
        <w:rPr>
          <w:rFonts w:hint="default"/>
          <w:color w:val="auto"/>
          <w:highlight w:val="none"/>
          <w:lang w:val="en-US" w:eastAsia="zh-CN"/>
        </w:rPr>
      </w:pPr>
      <w:r>
        <w:rPr>
          <w:rFonts w:hint="eastAsia"/>
          <w:color w:val="auto"/>
          <w:highlight w:val="none"/>
          <w:lang w:val="en-US" w:eastAsia="zh-CN"/>
        </w:rPr>
        <w:t>截止2021年12月31日，</w:t>
      </w:r>
      <w:r>
        <w:rPr>
          <w:rFonts w:hint="eastAsia" w:ascii="宋体" w:hAnsi="宋体" w:cs="宋体"/>
          <w:b w:val="0"/>
          <w:bCs w:val="0"/>
          <w:color w:val="auto"/>
          <w:szCs w:val="21"/>
          <w:lang w:val="en-US" w:eastAsia="zh-CN"/>
        </w:rPr>
        <w:t>实验小学</w:t>
      </w:r>
      <w:r>
        <w:rPr>
          <w:rFonts w:hint="eastAsia"/>
          <w:color w:val="auto"/>
          <w:highlight w:val="none"/>
          <w:lang w:val="en-US" w:eastAsia="zh-CN"/>
        </w:rPr>
        <w:t>共有教职工编制数142名，实有在职人员142名，</w:t>
      </w:r>
      <w:r>
        <w:rPr>
          <w:rFonts w:hint="default"/>
          <w:color w:val="auto"/>
          <w:highlight w:val="none"/>
          <w:lang w:val="en-US" w:eastAsia="zh-CN"/>
        </w:rPr>
        <w:t>退休职工54</w:t>
      </w:r>
      <w:r>
        <w:rPr>
          <w:rFonts w:hint="eastAsia"/>
          <w:color w:val="auto"/>
          <w:highlight w:val="none"/>
          <w:lang w:val="en-US" w:eastAsia="zh-CN"/>
        </w:rPr>
        <w:t>名</w:t>
      </w:r>
      <w:r>
        <w:rPr>
          <w:rFonts w:hint="default"/>
          <w:color w:val="auto"/>
          <w:highlight w:val="none"/>
          <w:lang w:val="en-US" w:eastAsia="zh-CN"/>
        </w:rPr>
        <w:t>,遗属人员8</w:t>
      </w:r>
      <w:r>
        <w:rPr>
          <w:rFonts w:hint="eastAsia"/>
          <w:color w:val="auto"/>
          <w:highlight w:val="none"/>
          <w:lang w:val="en-US" w:eastAsia="zh-CN"/>
        </w:rPr>
        <w:t>名</w:t>
      </w:r>
      <w:r>
        <w:rPr>
          <w:rFonts w:hint="default"/>
          <w:color w:val="auto"/>
          <w:highlight w:val="none"/>
          <w:lang w:val="en-US" w:eastAsia="zh-CN"/>
        </w:rPr>
        <w:t>。</w:t>
      </w:r>
    </w:p>
    <w:p w14:paraId="00AD2517">
      <w:pPr>
        <w:pStyle w:val="5"/>
        <w:pageBreakBefore w:val="0"/>
        <w:numPr>
          <w:ilvl w:val="0"/>
          <w:numId w:val="2"/>
        </w:numPr>
        <w:kinsoku/>
        <w:wordWrap/>
        <w:overflowPunct/>
        <w:topLinePunct w:val="0"/>
        <w:autoSpaceDE/>
        <w:autoSpaceDN/>
        <w:bidi w:val="0"/>
        <w:adjustRightInd/>
        <w:spacing w:line="560" w:lineRule="exact"/>
        <w:ind w:left="0" w:leftChars="0" w:firstLine="643" w:firstLineChars="200"/>
        <w:rPr>
          <w:rFonts w:hint="eastAsia"/>
          <w:highlight w:val="none"/>
        </w:rPr>
      </w:pPr>
      <w:bookmarkStart w:id="37" w:name="_Toc62481758"/>
      <w:bookmarkStart w:id="38" w:name="_Toc15527"/>
      <w:bookmarkStart w:id="39" w:name="_Toc23194"/>
      <w:bookmarkStart w:id="40" w:name="_Toc28851"/>
      <w:bookmarkStart w:id="41" w:name="_Toc8482"/>
      <w:bookmarkStart w:id="42" w:name="_Toc31415"/>
      <w:r>
        <w:rPr>
          <w:rFonts w:hint="eastAsia"/>
          <w:color w:val="auto"/>
          <w:highlight w:val="none"/>
        </w:rPr>
        <w:t>年度主要工作目标及重点工作</w:t>
      </w:r>
      <w:bookmarkEnd w:id="37"/>
      <w:bookmarkEnd w:id="38"/>
      <w:bookmarkEnd w:id="39"/>
      <w:bookmarkEnd w:id="40"/>
      <w:bookmarkEnd w:id="41"/>
      <w:bookmarkEnd w:id="42"/>
    </w:p>
    <w:p w14:paraId="1E42D26E">
      <w:pPr>
        <w:pStyle w:val="6"/>
        <w:pageBreakBefore w:val="0"/>
        <w:numPr>
          <w:ilvl w:val="2"/>
          <w:numId w:val="0"/>
        </w:numPr>
        <w:kinsoku/>
        <w:wordWrap/>
        <w:overflowPunct/>
        <w:topLinePunct w:val="0"/>
        <w:autoSpaceDE/>
        <w:autoSpaceDN/>
        <w:bidi w:val="0"/>
        <w:adjustRightInd/>
        <w:spacing w:line="560" w:lineRule="exact"/>
        <w:ind w:leftChars="0" w:firstLine="643" w:firstLineChars="200"/>
        <w:rPr>
          <w:rFonts w:hint="default"/>
          <w:b/>
          <w:bCs w:val="0"/>
          <w:color w:val="auto"/>
          <w:highlight w:val="none"/>
          <w:lang w:val="en-US" w:eastAsia="zh-CN"/>
        </w:rPr>
      </w:pPr>
      <w:bookmarkStart w:id="43" w:name="_Toc28266"/>
      <w:r>
        <w:rPr>
          <w:rFonts w:hint="eastAsia"/>
          <w:b/>
          <w:bCs w:val="0"/>
          <w:color w:val="auto"/>
          <w:highlight w:val="none"/>
          <w:lang w:val="en-US" w:eastAsia="zh-CN"/>
        </w:rPr>
        <w:t>1.</w:t>
      </w:r>
      <w:bookmarkEnd w:id="43"/>
      <w:r>
        <w:rPr>
          <w:rFonts w:hint="eastAsia"/>
          <w:b/>
          <w:bCs w:val="0"/>
          <w:color w:val="auto"/>
          <w:highlight w:val="none"/>
          <w:lang w:val="en-US" w:eastAsia="zh-CN"/>
        </w:rPr>
        <w:t>完善学校管理体系</w:t>
      </w:r>
    </w:p>
    <w:p w14:paraId="230BFD81">
      <w:pPr>
        <w:pStyle w:val="4"/>
        <w:pageBreakBefore w:val="0"/>
        <w:kinsoku/>
        <w:wordWrap/>
        <w:overflowPunct/>
        <w:topLinePunct w:val="0"/>
        <w:autoSpaceDE/>
        <w:autoSpaceDN/>
        <w:bidi w:val="0"/>
        <w:spacing w:line="560" w:lineRule="exact"/>
        <w:ind w:firstLine="640" w:firstLineChars="20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制定学校五年发展规划，完善相关制度，探索科学高效的学校治理体系。</w:t>
      </w:r>
    </w:p>
    <w:p w14:paraId="417208B2">
      <w:pPr>
        <w:pStyle w:val="6"/>
        <w:pageBreakBefore w:val="0"/>
        <w:numPr>
          <w:ilvl w:val="2"/>
          <w:numId w:val="0"/>
        </w:numPr>
        <w:kinsoku/>
        <w:wordWrap/>
        <w:overflowPunct/>
        <w:topLinePunct w:val="0"/>
        <w:autoSpaceDE/>
        <w:autoSpaceDN/>
        <w:bidi w:val="0"/>
        <w:adjustRightInd/>
        <w:spacing w:line="560" w:lineRule="exact"/>
        <w:ind w:leftChars="0" w:firstLine="643" w:firstLineChars="200"/>
        <w:rPr>
          <w:rFonts w:hint="eastAsia" w:eastAsia="仿宋" w:cstheme="minorBidi"/>
          <w:color w:val="auto"/>
          <w:kern w:val="2"/>
          <w:sz w:val="32"/>
          <w:szCs w:val="32"/>
          <w:highlight w:val="none"/>
          <w:lang w:val="en-US" w:eastAsia="zh-CN" w:bidi="ar-SA"/>
        </w:rPr>
      </w:pPr>
      <w:r>
        <w:rPr>
          <w:rFonts w:hint="eastAsia"/>
          <w:b/>
          <w:bCs w:val="0"/>
          <w:color w:val="auto"/>
          <w:highlight w:val="none"/>
          <w:lang w:val="en-US" w:eastAsia="zh-CN"/>
        </w:rPr>
        <w:t>2.做好党建工作</w:t>
      </w:r>
    </w:p>
    <w:p w14:paraId="72D82C98">
      <w:pPr>
        <w:pStyle w:val="4"/>
        <w:pageBreakBefore w:val="0"/>
        <w:kinsoku/>
        <w:wordWrap/>
        <w:overflowPunct/>
        <w:topLinePunct w:val="0"/>
        <w:autoSpaceDE/>
        <w:autoSpaceDN/>
        <w:bidi w:val="0"/>
        <w:spacing w:line="560" w:lineRule="exact"/>
        <w:ind w:firstLine="640" w:firstLineChars="200"/>
        <w:textAlignment w:val="auto"/>
        <w:rPr>
          <w:rFonts w:hint="eastAsia" w:ascii="Times New Roman" w:hAnsi="Times New Roman" w:cs="Times New Roman"/>
          <w:color w:val="auto"/>
          <w:lang w:val="en-US" w:eastAsia="zh-CN"/>
        </w:rPr>
      </w:pPr>
      <w:bookmarkStart w:id="44" w:name="_Toc4496"/>
      <w:r>
        <w:rPr>
          <w:rFonts w:hint="eastAsia" w:ascii="Times New Roman" w:hAnsi="Times New Roman" w:cs="Times New Roman"/>
          <w:color w:val="auto"/>
          <w:lang w:val="en-US" w:eastAsia="zh-CN"/>
        </w:rPr>
        <w:t>坚持和加强党对学校教育工作的全面领导；对党员的教育管理要做到高标准、严要求，抓好党建带团建带队建工作，充分发挥党员的先锋模范作用；大力推进清廉学校建设。</w:t>
      </w:r>
    </w:p>
    <w:p w14:paraId="29FF3C59">
      <w:pPr>
        <w:pStyle w:val="6"/>
        <w:pageBreakBefore w:val="0"/>
        <w:numPr>
          <w:ilvl w:val="2"/>
          <w:numId w:val="0"/>
        </w:numPr>
        <w:kinsoku/>
        <w:wordWrap/>
        <w:overflowPunct/>
        <w:topLinePunct w:val="0"/>
        <w:autoSpaceDE/>
        <w:autoSpaceDN/>
        <w:bidi w:val="0"/>
        <w:adjustRightInd/>
        <w:spacing w:line="560" w:lineRule="exact"/>
        <w:ind w:leftChars="0" w:firstLine="643" w:firstLineChars="200"/>
        <w:rPr>
          <w:rFonts w:hint="default"/>
          <w:b/>
          <w:bCs w:val="0"/>
          <w:color w:val="auto"/>
          <w:highlight w:val="none"/>
          <w:lang w:val="en-US" w:eastAsia="zh-CN"/>
        </w:rPr>
      </w:pPr>
      <w:r>
        <w:rPr>
          <w:rFonts w:hint="eastAsia"/>
          <w:b/>
          <w:bCs w:val="0"/>
          <w:color w:val="auto"/>
          <w:highlight w:val="none"/>
          <w:lang w:val="en-US" w:eastAsia="zh-CN"/>
        </w:rPr>
        <w:t>3.</w:t>
      </w:r>
      <w:bookmarkEnd w:id="44"/>
      <w:r>
        <w:rPr>
          <w:rFonts w:hint="eastAsia"/>
          <w:b/>
          <w:bCs w:val="0"/>
          <w:color w:val="auto"/>
          <w:highlight w:val="none"/>
          <w:lang w:val="en-US" w:eastAsia="zh-CN"/>
        </w:rPr>
        <w:t>强化队伍，完善教师梯级成长培养机制</w:t>
      </w:r>
    </w:p>
    <w:p w14:paraId="7301C017">
      <w:pPr>
        <w:pStyle w:val="4"/>
        <w:pageBreakBefore w:val="0"/>
        <w:kinsoku/>
        <w:wordWrap/>
        <w:overflowPunct/>
        <w:topLinePunct w:val="0"/>
        <w:autoSpaceDE/>
        <w:autoSpaceDN/>
        <w:bidi w:val="0"/>
        <w:spacing w:line="560" w:lineRule="exact"/>
        <w:ind w:firstLine="640" w:firstLineChars="200"/>
        <w:textAlignment w:val="auto"/>
        <w:rPr>
          <w:rFonts w:hint="eastAsia" w:ascii="Times New Roman" w:hAnsi="Times New Roman" w:cs="Times New Roman"/>
          <w:color w:val="auto"/>
          <w:lang w:val="en-US" w:eastAsia="zh-CN"/>
        </w:rPr>
      </w:pPr>
      <w:bookmarkStart w:id="45" w:name="_Toc21706"/>
      <w:r>
        <w:rPr>
          <w:rFonts w:hint="eastAsia" w:ascii="Times New Roman" w:hAnsi="Times New Roman" w:cs="Times New Roman"/>
          <w:color w:val="auto"/>
          <w:lang w:val="en-US" w:eastAsia="zh-CN"/>
        </w:rPr>
        <w:t>加强学校干部队伍建设；高度重视教师专业发展，通过党建引领、团队建设、按需施训、名师带教、师徒结对等方式继续完善教师梯级成长培养机制；加强师德师风建设，明确师德师风责任目标，定期举行师德专题教育。</w:t>
      </w:r>
    </w:p>
    <w:p w14:paraId="2D7E2FF3">
      <w:pPr>
        <w:pStyle w:val="6"/>
        <w:pageBreakBefore w:val="0"/>
        <w:numPr>
          <w:ilvl w:val="2"/>
          <w:numId w:val="0"/>
        </w:numPr>
        <w:kinsoku/>
        <w:wordWrap/>
        <w:overflowPunct/>
        <w:topLinePunct w:val="0"/>
        <w:autoSpaceDE/>
        <w:autoSpaceDN/>
        <w:bidi w:val="0"/>
        <w:adjustRightInd/>
        <w:spacing w:line="560" w:lineRule="exact"/>
        <w:ind w:leftChars="0" w:firstLine="643" w:firstLineChars="200"/>
        <w:rPr>
          <w:rFonts w:hint="default"/>
          <w:lang w:val="en-US" w:eastAsia="zh-CN"/>
        </w:rPr>
      </w:pPr>
      <w:r>
        <w:rPr>
          <w:rFonts w:hint="eastAsia"/>
          <w:b/>
          <w:bCs w:val="0"/>
          <w:color w:val="auto"/>
          <w:highlight w:val="none"/>
          <w:lang w:val="en-US" w:eastAsia="zh-CN"/>
        </w:rPr>
        <w:t>4.做好教育教学工作</w:t>
      </w:r>
    </w:p>
    <w:p w14:paraId="724F3B24">
      <w:pPr>
        <w:pStyle w:val="4"/>
        <w:pageBreakBefore w:val="0"/>
        <w:kinsoku/>
        <w:wordWrap/>
        <w:overflowPunct/>
        <w:topLinePunct w:val="0"/>
        <w:autoSpaceDE/>
        <w:autoSpaceDN/>
        <w:bidi w:val="0"/>
        <w:spacing w:line="560" w:lineRule="exact"/>
        <w:ind w:firstLine="640" w:firstLineChars="200"/>
        <w:textAlignment w:val="auto"/>
        <w:rPr>
          <w:rFonts w:hint="eastAsia" w:ascii="Times New Roman" w:hAnsi="Times New Roman" w:cs="Times New Roman"/>
          <w:color w:val="auto"/>
          <w:lang w:val="en-US" w:eastAsia="zh-CN"/>
        </w:rPr>
      </w:pPr>
      <w:r>
        <w:rPr>
          <w:rFonts w:hint="default" w:ascii="Times New Roman" w:hAnsi="Times New Roman" w:cs="Times New Roman"/>
          <w:color w:val="auto"/>
          <w:lang w:val="en-US" w:eastAsia="zh-CN"/>
        </w:rPr>
        <w:t>牢固树立课程意识，在“双减”背景下进行综合素养为本的主题课程的开发与实施</w:t>
      </w:r>
      <w:r>
        <w:rPr>
          <w:rFonts w:hint="eastAsia" w:ascii="Times New Roman" w:hAnsi="Times New Roman" w:cs="Times New Roman"/>
          <w:color w:val="auto"/>
          <w:lang w:val="en-US" w:eastAsia="zh-CN"/>
        </w:rPr>
        <w:t>；</w:t>
      </w:r>
      <w:r>
        <w:rPr>
          <w:rFonts w:hint="default" w:ascii="Times New Roman" w:hAnsi="Times New Roman" w:cs="Times New Roman"/>
          <w:color w:val="auto"/>
          <w:lang w:val="en-US" w:eastAsia="zh-CN"/>
        </w:rPr>
        <w:t>落实“双减”背景下</w:t>
      </w:r>
      <w:r>
        <w:rPr>
          <w:rFonts w:hint="eastAsia" w:ascii="Times New Roman" w:hAnsi="Times New Roman" w:cs="Times New Roman"/>
          <w:color w:val="auto"/>
          <w:lang w:val="en-US" w:eastAsia="zh-CN"/>
        </w:rPr>
        <w:t>美育</w:t>
      </w:r>
      <w:r>
        <w:rPr>
          <w:rFonts w:hint="default" w:ascii="Times New Roman" w:hAnsi="Times New Roman" w:cs="Times New Roman"/>
          <w:color w:val="auto"/>
          <w:lang w:val="en-US" w:eastAsia="zh-CN"/>
        </w:rPr>
        <w:t>主题实践作业的设计与管理加强课堂督导</w:t>
      </w:r>
      <w:r>
        <w:rPr>
          <w:rFonts w:hint="eastAsia" w:ascii="Times New Roman" w:hAnsi="Times New Roman" w:cs="Times New Roman"/>
          <w:color w:val="auto"/>
          <w:lang w:val="en-US" w:eastAsia="zh-CN"/>
        </w:rPr>
        <w:t>；</w:t>
      </w:r>
      <w:r>
        <w:rPr>
          <w:rFonts w:hint="default" w:ascii="Times New Roman" w:hAnsi="Times New Roman" w:cs="Times New Roman"/>
          <w:color w:val="auto"/>
          <w:lang w:val="en-US" w:eastAsia="zh-CN"/>
        </w:rPr>
        <w:t>扎实推进</w:t>
      </w:r>
      <w:r>
        <w:rPr>
          <w:rFonts w:hint="eastAsia" w:ascii="Times New Roman" w:hAnsi="Times New Roman" w:cs="Times New Roman"/>
          <w:color w:val="auto"/>
          <w:lang w:val="en-US" w:eastAsia="zh-CN"/>
        </w:rPr>
        <w:t>智慧课题</w:t>
      </w:r>
      <w:r>
        <w:rPr>
          <w:rFonts w:hint="default" w:ascii="Times New Roman" w:hAnsi="Times New Roman" w:cs="Times New Roman"/>
          <w:color w:val="auto"/>
          <w:lang w:val="en-US" w:eastAsia="zh-CN"/>
        </w:rPr>
        <w:t>工作，</w:t>
      </w:r>
      <w:r>
        <w:rPr>
          <w:rFonts w:hint="eastAsia" w:ascii="Times New Roman" w:hAnsi="Times New Roman" w:cs="Times New Roman"/>
          <w:color w:val="auto"/>
          <w:lang w:val="en-US" w:eastAsia="zh-CN"/>
        </w:rPr>
        <w:t>提升提升教师信息素养。</w:t>
      </w:r>
    </w:p>
    <w:bookmarkEnd w:id="45"/>
    <w:p w14:paraId="0DE75A43">
      <w:pPr>
        <w:pStyle w:val="3"/>
        <w:pageBreakBefore w:val="0"/>
        <w:kinsoku/>
        <w:wordWrap/>
        <w:overflowPunct/>
        <w:topLinePunct w:val="0"/>
        <w:autoSpaceDE/>
        <w:autoSpaceDN/>
        <w:bidi w:val="0"/>
        <w:spacing w:line="560" w:lineRule="exact"/>
        <w:ind w:left="0" w:firstLine="640" w:firstLineChars="200"/>
        <w:rPr>
          <w:rFonts w:hint="eastAsia"/>
          <w:color w:val="auto"/>
          <w:szCs w:val="32"/>
        </w:rPr>
      </w:pPr>
      <w:bookmarkStart w:id="46" w:name="_Toc20310"/>
      <w:bookmarkStart w:id="47" w:name="_Toc15357"/>
      <w:bookmarkStart w:id="48" w:name="_Toc14995"/>
      <w:bookmarkStart w:id="49" w:name="_Toc26326"/>
      <w:bookmarkStart w:id="50" w:name="_Toc2198"/>
      <w:bookmarkStart w:id="51" w:name="_Toc62481759"/>
      <w:bookmarkStart w:id="52" w:name="_Toc4249"/>
      <w:r>
        <w:rPr>
          <w:rFonts w:hint="eastAsia"/>
          <w:color w:val="auto"/>
          <w:szCs w:val="32"/>
          <w:lang w:val="en-US" w:eastAsia="zh-CN"/>
        </w:rPr>
        <w:t>预算编制及执行</w:t>
      </w:r>
      <w:r>
        <w:rPr>
          <w:rFonts w:hint="eastAsia"/>
          <w:color w:val="auto"/>
          <w:szCs w:val="32"/>
        </w:rPr>
        <w:t>情况</w:t>
      </w:r>
      <w:bookmarkEnd w:id="46"/>
      <w:bookmarkEnd w:id="47"/>
      <w:bookmarkEnd w:id="48"/>
      <w:bookmarkEnd w:id="49"/>
      <w:bookmarkEnd w:id="50"/>
      <w:bookmarkEnd w:id="51"/>
      <w:bookmarkEnd w:id="52"/>
    </w:p>
    <w:p w14:paraId="284BD4CB">
      <w:pPr>
        <w:pStyle w:val="5"/>
        <w:pageBreakBefore w:val="0"/>
        <w:numPr>
          <w:ilvl w:val="1"/>
          <w:numId w:val="0"/>
        </w:numPr>
        <w:kinsoku/>
        <w:wordWrap/>
        <w:overflowPunct/>
        <w:topLinePunct w:val="0"/>
        <w:autoSpaceDE/>
        <w:autoSpaceDN/>
        <w:bidi w:val="0"/>
        <w:spacing w:line="560" w:lineRule="exact"/>
        <w:ind w:leftChars="0" w:firstLine="643" w:firstLineChars="200"/>
        <w:textAlignment w:val="auto"/>
        <w:rPr>
          <w:rFonts w:hint="eastAsia"/>
          <w:color w:val="auto"/>
          <w:lang w:val="en-US" w:eastAsia="zh-CN"/>
        </w:rPr>
      </w:pPr>
      <w:bookmarkStart w:id="53" w:name="_Toc3957"/>
      <w:bookmarkStart w:id="54" w:name="_Toc21954"/>
      <w:bookmarkStart w:id="55" w:name="_Toc11818"/>
      <w:bookmarkStart w:id="56" w:name="_Toc18175"/>
      <w:bookmarkStart w:id="57" w:name="_Toc62481760"/>
      <w:bookmarkStart w:id="58" w:name="_Toc223"/>
      <w:r>
        <w:rPr>
          <w:rFonts w:hint="eastAsia"/>
          <w:color w:val="auto"/>
          <w:lang w:val="en-US" w:eastAsia="zh-CN"/>
        </w:rPr>
        <w:t>（一）预算</w:t>
      </w:r>
      <w:r>
        <w:rPr>
          <w:rFonts w:hint="default"/>
          <w:color w:val="auto"/>
          <w:lang w:val="en-US" w:eastAsia="zh-CN"/>
        </w:rPr>
        <w:t>编制</w:t>
      </w:r>
      <w:r>
        <w:rPr>
          <w:rFonts w:hint="eastAsia"/>
          <w:color w:val="auto"/>
          <w:lang w:val="en-US" w:eastAsia="zh-CN"/>
        </w:rPr>
        <w:t>情况</w:t>
      </w:r>
      <w:bookmarkEnd w:id="53"/>
      <w:bookmarkEnd w:id="54"/>
      <w:bookmarkEnd w:id="55"/>
      <w:bookmarkEnd w:id="56"/>
      <w:bookmarkEnd w:id="57"/>
      <w:bookmarkEnd w:id="58"/>
    </w:p>
    <w:p w14:paraId="23001424">
      <w:pPr>
        <w:pStyle w:val="6"/>
        <w:pageBreakBefore w:val="0"/>
        <w:kinsoku/>
        <w:wordWrap/>
        <w:overflowPunct/>
        <w:topLinePunct w:val="0"/>
        <w:autoSpaceDE/>
        <w:autoSpaceDN/>
        <w:bidi w:val="0"/>
        <w:adjustRightInd/>
        <w:spacing w:line="560" w:lineRule="exact"/>
        <w:ind w:firstLine="643" w:firstLineChars="200"/>
        <w:rPr>
          <w:rFonts w:hint="eastAsia"/>
          <w:b/>
          <w:bCs w:val="0"/>
          <w:color w:val="auto"/>
        </w:rPr>
      </w:pPr>
      <w:bookmarkStart w:id="59" w:name="_Toc32655"/>
      <w:r>
        <w:rPr>
          <w:rFonts w:hint="eastAsia"/>
          <w:b/>
          <w:bCs w:val="0"/>
          <w:color w:val="auto"/>
        </w:rPr>
        <w:t>部门收入情况</w:t>
      </w:r>
      <w:bookmarkEnd w:id="59"/>
    </w:p>
    <w:p w14:paraId="3C89C66B">
      <w:pPr>
        <w:pStyle w:val="4"/>
        <w:pageBreakBefore w:val="0"/>
        <w:kinsoku/>
        <w:wordWrap/>
        <w:overflowPunct/>
        <w:topLinePunct w:val="0"/>
        <w:autoSpaceDE/>
        <w:autoSpaceDN/>
        <w:bidi w:val="0"/>
        <w:spacing w:line="560" w:lineRule="exact"/>
        <w:ind w:firstLine="640" w:firstLineChars="200"/>
        <w:textAlignment w:val="auto"/>
        <w:rPr>
          <w:rFonts w:hint="eastAsia" w:eastAsia="仿宋_GB2312"/>
          <w:color w:val="auto"/>
          <w:szCs w:val="32"/>
          <w:lang w:val="en-US" w:eastAsia="zh-CN"/>
        </w:rPr>
      </w:pPr>
      <w:r>
        <w:rPr>
          <w:rFonts w:hint="eastAsia"/>
          <w:color w:val="auto"/>
          <w:szCs w:val="32"/>
          <w:lang w:val="en-US" w:eastAsia="zh-CN"/>
        </w:rPr>
        <w:t>2021年，实验小学年初收入预算2192.54万元，调整预算 2473.58万元，</w:t>
      </w:r>
      <w:r>
        <w:rPr>
          <w:color w:val="auto"/>
          <w:szCs w:val="32"/>
        </w:rPr>
        <w:t>决算</w:t>
      </w:r>
      <w:r>
        <w:rPr>
          <w:rFonts w:hint="eastAsia"/>
          <w:color w:val="auto"/>
          <w:szCs w:val="32"/>
          <w:lang w:val="en-US" w:eastAsia="zh-CN"/>
        </w:rPr>
        <w:t>2453.58</w:t>
      </w:r>
      <w:r>
        <w:rPr>
          <w:color w:val="auto"/>
          <w:szCs w:val="32"/>
        </w:rPr>
        <w:t>万元。</w:t>
      </w:r>
      <w:r>
        <w:rPr>
          <w:rFonts w:hint="eastAsia"/>
          <w:color w:val="auto"/>
          <w:szCs w:val="32"/>
          <w:lang w:val="en-US" w:eastAsia="zh-CN"/>
        </w:rPr>
        <w:t>收入来源为</w:t>
      </w:r>
      <w:r>
        <w:rPr>
          <w:color w:val="auto"/>
          <w:szCs w:val="32"/>
        </w:rPr>
        <w:t>一般公共预算财政拨款</w:t>
      </w:r>
      <w:r>
        <w:rPr>
          <w:rFonts w:hint="eastAsia"/>
          <w:color w:val="auto"/>
          <w:szCs w:val="32"/>
          <w:lang w:eastAsia="zh-CN"/>
        </w:rPr>
        <w:t>。</w:t>
      </w:r>
    </w:p>
    <w:p w14:paraId="67D1C649">
      <w:pPr>
        <w:pStyle w:val="6"/>
        <w:pageBreakBefore w:val="0"/>
        <w:kinsoku/>
        <w:wordWrap/>
        <w:overflowPunct/>
        <w:topLinePunct w:val="0"/>
        <w:autoSpaceDE/>
        <w:autoSpaceDN/>
        <w:bidi w:val="0"/>
        <w:adjustRightInd/>
        <w:spacing w:line="560" w:lineRule="exact"/>
        <w:ind w:firstLine="643" w:firstLineChars="200"/>
        <w:rPr>
          <w:rFonts w:hint="eastAsia"/>
          <w:b/>
          <w:bCs w:val="0"/>
          <w:color w:val="auto"/>
        </w:rPr>
      </w:pPr>
      <w:bookmarkStart w:id="60" w:name="_Toc4774"/>
      <w:r>
        <w:rPr>
          <w:rFonts w:hint="eastAsia"/>
          <w:b/>
          <w:bCs w:val="0"/>
          <w:color w:val="auto"/>
        </w:rPr>
        <w:t>部门支出</w:t>
      </w:r>
      <w:r>
        <w:rPr>
          <w:rFonts w:hint="eastAsia"/>
          <w:b/>
          <w:bCs w:val="0"/>
          <w:color w:val="auto"/>
          <w:lang w:val="en-US" w:eastAsia="zh-CN"/>
        </w:rPr>
        <w:t>及预算执行</w:t>
      </w:r>
      <w:r>
        <w:rPr>
          <w:rFonts w:hint="eastAsia"/>
          <w:b/>
          <w:bCs w:val="0"/>
          <w:color w:val="auto"/>
        </w:rPr>
        <w:t>情况</w:t>
      </w:r>
      <w:bookmarkEnd w:id="60"/>
    </w:p>
    <w:p w14:paraId="1EEFE9B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
          <w:color w:val="auto"/>
          <w:sz w:val="32"/>
          <w:szCs w:val="32"/>
          <w:lang w:val="en-US" w:eastAsia="zh-CN"/>
        </w:rPr>
      </w:pPr>
      <w:r>
        <w:rPr>
          <w:rFonts w:hint="eastAsia" w:ascii="Times New Roman" w:hAnsi="Times New Roman" w:eastAsia="仿宋"/>
          <w:color w:val="auto"/>
          <w:sz w:val="32"/>
          <w:szCs w:val="32"/>
          <w:lang w:val="en-US" w:eastAsia="zh-CN"/>
        </w:rPr>
        <w:t>2021年，实验小学年初支出预算2192.54万元（其中：基本支出2090.14万元，项目支出102.4万元）；调整预算为 2473.58万元（其中：基本支出2165.43万元，项目支出308.14万元）；决算2453.58万元（其中：基本支出2165.43万元，项目支出288.14万元）。</w:t>
      </w:r>
    </w:p>
    <w:p w14:paraId="6C11697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color w:val="auto"/>
        </w:rPr>
      </w:pPr>
      <w:r>
        <w:rPr>
          <w:rFonts w:hint="eastAsia" w:ascii="Times New Roman" w:hAnsi="Times New Roman" w:eastAsia="仿宋"/>
          <w:color w:val="auto"/>
          <w:sz w:val="32"/>
          <w:szCs w:val="32"/>
          <w:lang w:val="en-US" w:eastAsia="zh-CN"/>
        </w:rPr>
        <w:t>2021年收入预算执行进度99.19%。具体支出预决算情况见表1，项目支出明细见表2：</w:t>
      </w:r>
    </w:p>
    <w:p w14:paraId="17411A33">
      <w:pPr>
        <w:pStyle w:val="12"/>
        <w:keepNext w:val="0"/>
        <w:keepLines w:val="0"/>
        <w:pageBreakBefore w:val="0"/>
        <w:widowControl w:val="0"/>
        <w:kinsoku/>
        <w:wordWrap/>
        <w:overflowPunct/>
        <w:topLinePunct w:val="0"/>
        <w:autoSpaceDE/>
        <w:autoSpaceDN/>
        <w:bidi w:val="0"/>
        <w:adjustRightInd/>
        <w:snapToGrid w:val="0"/>
        <w:spacing w:before="60" w:after="60" w:line="560" w:lineRule="exact"/>
        <w:ind w:left="0" w:leftChars="0" w:right="0" w:rightChars="0" w:firstLine="482" w:firstLineChars="200"/>
        <w:textAlignment w:val="auto"/>
        <w:outlineLvl w:val="9"/>
        <w:rPr>
          <w:color w:val="auto"/>
        </w:rPr>
      </w:pPr>
      <w:r>
        <w:rPr>
          <w:rFonts w:hint="eastAsia"/>
          <w:color w:val="auto"/>
        </w:rPr>
        <w:t>表</w:t>
      </w:r>
      <w:r>
        <w:rPr>
          <w:rFonts w:hint="eastAsia"/>
          <w:color w:val="auto"/>
          <w:lang w:val="en-US" w:eastAsia="zh-CN"/>
        </w:rPr>
        <w:t>1</w:t>
      </w:r>
      <w:r>
        <w:rPr>
          <w:color w:val="auto"/>
        </w:rPr>
        <w:t xml:space="preserve">  20</w:t>
      </w:r>
      <w:r>
        <w:rPr>
          <w:rFonts w:hint="eastAsia"/>
          <w:color w:val="auto"/>
          <w:lang w:val="en-US" w:eastAsia="zh-CN"/>
        </w:rPr>
        <w:t>21</w:t>
      </w:r>
      <w:r>
        <w:rPr>
          <w:color w:val="auto"/>
        </w:rPr>
        <w:t>年</w:t>
      </w:r>
      <w:r>
        <w:rPr>
          <w:rFonts w:hint="eastAsia"/>
          <w:color w:val="auto"/>
          <w:lang w:val="en-US" w:eastAsia="zh-CN"/>
        </w:rPr>
        <w:t>实验小学支出</w:t>
      </w:r>
      <w:r>
        <w:rPr>
          <w:color w:val="auto"/>
        </w:rPr>
        <w:t>预决算情况表</w:t>
      </w:r>
    </w:p>
    <w:p w14:paraId="00E66FF2">
      <w:pPr>
        <w:pStyle w:val="12"/>
        <w:keepNext w:val="0"/>
        <w:keepLines w:val="0"/>
        <w:pageBreakBefore w:val="0"/>
        <w:widowControl w:val="0"/>
        <w:kinsoku/>
        <w:wordWrap/>
        <w:overflowPunct/>
        <w:topLinePunct w:val="0"/>
        <w:autoSpaceDE/>
        <w:autoSpaceDN/>
        <w:bidi w:val="0"/>
        <w:adjustRightInd/>
        <w:snapToGrid w:val="0"/>
        <w:spacing w:before="60" w:after="60" w:line="560" w:lineRule="exact"/>
        <w:ind w:left="0" w:leftChars="0" w:right="0" w:rightChars="0" w:firstLine="480" w:firstLineChars="200"/>
        <w:jc w:val="right"/>
        <w:textAlignment w:val="auto"/>
        <w:outlineLvl w:val="9"/>
        <w:rPr>
          <w:b w:val="0"/>
          <w:bCs/>
          <w:color w:val="auto"/>
        </w:rPr>
      </w:pPr>
      <w:r>
        <w:rPr>
          <w:rFonts w:hint="eastAsia"/>
          <w:b w:val="0"/>
          <w:bCs/>
          <w:color w:val="auto"/>
        </w:rPr>
        <w:t>单位</w:t>
      </w:r>
      <w:r>
        <w:rPr>
          <w:b w:val="0"/>
          <w:bCs/>
          <w:color w:val="auto"/>
        </w:rPr>
        <w:t>：万元</w:t>
      </w:r>
    </w:p>
    <w:tbl>
      <w:tblPr>
        <w:tblStyle w:val="10"/>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2"/>
        <w:gridCol w:w="1767"/>
        <w:gridCol w:w="1767"/>
        <w:gridCol w:w="1768"/>
        <w:gridCol w:w="1768"/>
      </w:tblGrid>
      <w:tr w14:paraId="4F570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997" w:type="pct"/>
            <w:vAlign w:val="center"/>
          </w:tcPr>
          <w:p w14:paraId="43D4E777">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eastAsia="宋体" w:cs="宋体"/>
                <w:b/>
                <w:bCs w:val="0"/>
                <w:color w:val="auto"/>
                <w:kern w:val="0"/>
                <w:sz w:val="22"/>
                <w:szCs w:val="22"/>
                <w:lang w:val="zh-CN" w:eastAsia="zh-CN" w:bidi="ar-SA"/>
              </w:rPr>
            </w:pPr>
            <w:r>
              <w:rPr>
                <w:rFonts w:hint="eastAsia" w:ascii="Times New Roman" w:hAnsi="Times New Roman" w:eastAsia="宋体" w:cs="宋体"/>
                <w:b/>
                <w:bCs w:val="0"/>
                <w:color w:val="auto"/>
                <w:kern w:val="0"/>
                <w:sz w:val="22"/>
                <w:szCs w:val="22"/>
                <w:lang w:val="zh-CN" w:eastAsia="zh-CN" w:bidi="ar-SA"/>
              </w:rPr>
              <w:t>类别</w:t>
            </w:r>
          </w:p>
        </w:tc>
        <w:tc>
          <w:tcPr>
            <w:tcW w:w="1000" w:type="pct"/>
            <w:vAlign w:val="center"/>
          </w:tcPr>
          <w:p w14:paraId="3248D6FC">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eastAsia="宋体" w:cs="宋体"/>
                <w:b/>
                <w:bCs w:val="0"/>
                <w:color w:val="auto"/>
                <w:kern w:val="0"/>
                <w:sz w:val="22"/>
                <w:szCs w:val="22"/>
                <w:lang w:val="zh-CN" w:eastAsia="zh-CN" w:bidi="ar-SA"/>
              </w:rPr>
            </w:pPr>
            <w:r>
              <w:rPr>
                <w:rFonts w:hint="eastAsia" w:ascii="Times New Roman" w:hAnsi="Times New Roman" w:eastAsia="宋体" w:cs="宋体"/>
                <w:b/>
                <w:bCs w:val="0"/>
                <w:color w:val="auto"/>
                <w:kern w:val="0"/>
                <w:sz w:val="22"/>
                <w:szCs w:val="22"/>
                <w:lang w:val="zh-CN" w:eastAsia="zh-CN" w:bidi="ar-SA"/>
              </w:rPr>
              <w:t>预算数</w:t>
            </w:r>
          </w:p>
        </w:tc>
        <w:tc>
          <w:tcPr>
            <w:tcW w:w="1000" w:type="pct"/>
            <w:vAlign w:val="center"/>
          </w:tcPr>
          <w:p w14:paraId="7947EC61">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hint="default" w:ascii="Times New Roman" w:hAnsi="Times New Roman" w:eastAsia="宋体" w:cs="宋体"/>
                <w:b/>
                <w:bCs w:val="0"/>
                <w:color w:val="auto"/>
                <w:kern w:val="0"/>
                <w:sz w:val="22"/>
                <w:szCs w:val="22"/>
                <w:lang w:val="en-US" w:eastAsia="zh-CN" w:bidi="ar-SA"/>
              </w:rPr>
            </w:pPr>
            <w:r>
              <w:rPr>
                <w:rFonts w:hint="eastAsia" w:ascii="Times New Roman" w:hAnsi="Times New Roman" w:eastAsia="宋体" w:cs="宋体"/>
                <w:b/>
                <w:bCs w:val="0"/>
                <w:color w:val="auto"/>
                <w:kern w:val="0"/>
                <w:sz w:val="22"/>
                <w:szCs w:val="22"/>
                <w:lang w:val="en-US" w:eastAsia="zh-CN" w:bidi="ar-SA"/>
              </w:rPr>
              <w:t>调整数</w:t>
            </w:r>
          </w:p>
        </w:tc>
        <w:tc>
          <w:tcPr>
            <w:tcW w:w="1000" w:type="pct"/>
            <w:vAlign w:val="center"/>
          </w:tcPr>
          <w:p w14:paraId="70A9D598">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eastAsia="宋体" w:cs="宋体"/>
                <w:b/>
                <w:bCs w:val="0"/>
                <w:color w:val="auto"/>
                <w:kern w:val="0"/>
                <w:sz w:val="22"/>
                <w:szCs w:val="22"/>
                <w:lang w:val="zh-CN" w:eastAsia="zh-CN" w:bidi="ar-SA"/>
              </w:rPr>
            </w:pPr>
            <w:r>
              <w:rPr>
                <w:rFonts w:hint="eastAsia" w:ascii="Times New Roman" w:hAnsi="Times New Roman" w:eastAsia="宋体" w:cs="宋体"/>
                <w:b/>
                <w:bCs w:val="0"/>
                <w:color w:val="auto"/>
                <w:kern w:val="0"/>
                <w:sz w:val="22"/>
                <w:szCs w:val="22"/>
                <w:lang w:val="zh-CN" w:eastAsia="zh-CN" w:bidi="ar-SA"/>
              </w:rPr>
              <w:t>决算数</w:t>
            </w:r>
          </w:p>
        </w:tc>
        <w:tc>
          <w:tcPr>
            <w:tcW w:w="1000" w:type="pct"/>
            <w:vAlign w:val="center"/>
          </w:tcPr>
          <w:p w14:paraId="62F9FCE3">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宋体" w:cs="宋体"/>
                <w:b/>
                <w:bCs w:val="0"/>
                <w:color w:val="auto"/>
                <w:kern w:val="0"/>
                <w:sz w:val="22"/>
                <w:szCs w:val="22"/>
                <w:lang w:val="en-US" w:eastAsia="zh-Hans" w:bidi="ar-SA"/>
              </w:rPr>
            </w:pPr>
            <w:r>
              <w:rPr>
                <w:rFonts w:hint="eastAsia" w:ascii="Times New Roman" w:hAnsi="Times New Roman" w:eastAsia="宋体" w:cs="宋体"/>
                <w:b/>
                <w:bCs w:val="0"/>
                <w:color w:val="auto"/>
                <w:kern w:val="0"/>
                <w:sz w:val="22"/>
                <w:szCs w:val="22"/>
                <w:lang w:val="en-US" w:eastAsia="zh-Hans" w:bidi="ar-SA"/>
              </w:rPr>
              <w:t>预算执行率</w:t>
            </w:r>
          </w:p>
        </w:tc>
      </w:tr>
      <w:tr w14:paraId="6D107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997" w:type="pct"/>
            <w:vAlign w:val="center"/>
          </w:tcPr>
          <w:p w14:paraId="37D52381">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eastAsia="宋体" w:cs="宋体"/>
                <w:bCs/>
                <w:color w:val="auto"/>
                <w:kern w:val="0"/>
                <w:sz w:val="22"/>
                <w:szCs w:val="22"/>
                <w:lang w:val="zh-CN" w:eastAsia="zh-CN" w:bidi="ar-SA"/>
              </w:rPr>
            </w:pPr>
            <w:r>
              <w:rPr>
                <w:rFonts w:hint="eastAsia" w:ascii="Times New Roman" w:hAnsi="Times New Roman" w:eastAsia="宋体" w:cs="宋体"/>
                <w:bCs/>
                <w:color w:val="auto"/>
                <w:kern w:val="0"/>
                <w:sz w:val="22"/>
                <w:szCs w:val="22"/>
                <w:lang w:val="zh-CN" w:eastAsia="zh-CN" w:bidi="ar-SA"/>
              </w:rPr>
              <w:t>基本支出</w:t>
            </w:r>
          </w:p>
        </w:tc>
        <w:tc>
          <w:tcPr>
            <w:tcW w:w="1000" w:type="pct"/>
            <w:vAlign w:val="center"/>
          </w:tcPr>
          <w:p w14:paraId="6B4792D2">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2090.14</w:t>
            </w:r>
          </w:p>
        </w:tc>
        <w:tc>
          <w:tcPr>
            <w:tcW w:w="1000" w:type="pct"/>
            <w:vAlign w:val="center"/>
          </w:tcPr>
          <w:p w14:paraId="417730B3">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2165.43</w:t>
            </w:r>
          </w:p>
        </w:tc>
        <w:tc>
          <w:tcPr>
            <w:tcW w:w="1000" w:type="pct"/>
            <w:vAlign w:val="center"/>
          </w:tcPr>
          <w:p w14:paraId="251ECB48">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2165.43</w:t>
            </w:r>
          </w:p>
        </w:tc>
        <w:tc>
          <w:tcPr>
            <w:tcW w:w="1000" w:type="pct"/>
            <w:vAlign w:val="center"/>
          </w:tcPr>
          <w:p w14:paraId="64DD6712">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100.00%</w:t>
            </w:r>
          </w:p>
        </w:tc>
      </w:tr>
      <w:tr w14:paraId="1507D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997" w:type="pct"/>
            <w:vAlign w:val="center"/>
          </w:tcPr>
          <w:p w14:paraId="6385C9FC">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eastAsia="宋体" w:cs="宋体"/>
                <w:bCs/>
                <w:color w:val="auto"/>
                <w:kern w:val="0"/>
                <w:sz w:val="22"/>
                <w:szCs w:val="22"/>
                <w:lang w:val="zh-CN" w:eastAsia="zh-CN" w:bidi="ar-SA"/>
              </w:rPr>
            </w:pPr>
            <w:r>
              <w:rPr>
                <w:rFonts w:hint="eastAsia" w:ascii="Times New Roman" w:hAnsi="Times New Roman" w:eastAsia="宋体" w:cs="宋体"/>
                <w:bCs/>
                <w:color w:val="auto"/>
                <w:kern w:val="0"/>
                <w:sz w:val="22"/>
                <w:szCs w:val="22"/>
                <w:lang w:val="zh-CN" w:eastAsia="zh-CN" w:bidi="ar-SA"/>
              </w:rPr>
              <w:t>项目支出</w:t>
            </w:r>
          </w:p>
        </w:tc>
        <w:tc>
          <w:tcPr>
            <w:tcW w:w="1000" w:type="pct"/>
            <w:vAlign w:val="center"/>
          </w:tcPr>
          <w:p w14:paraId="719379ED">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102.4</w:t>
            </w:r>
          </w:p>
        </w:tc>
        <w:tc>
          <w:tcPr>
            <w:tcW w:w="1000" w:type="pct"/>
            <w:vAlign w:val="center"/>
          </w:tcPr>
          <w:p w14:paraId="646BE3C9">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zh-CN" w:eastAsia="zh-CN" w:bidi="ar"/>
              </w:rPr>
            </w:pPr>
            <w:r>
              <w:rPr>
                <w:rFonts w:hint="eastAsia" w:ascii="仿宋" w:hAnsi="仿宋" w:eastAsia="仿宋" w:cs="仿宋"/>
                <w:i w:val="0"/>
                <w:iCs w:val="0"/>
                <w:color w:val="auto"/>
                <w:kern w:val="0"/>
                <w:sz w:val="22"/>
                <w:szCs w:val="22"/>
                <w:u w:val="none"/>
                <w:lang w:val="en-US" w:eastAsia="zh-CN" w:bidi="ar"/>
              </w:rPr>
              <w:t>308.14</w:t>
            </w:r>
          </w:p>
        </w:tc>
        <w:tc>
          <w:tcPr>
            <w:tcW w:w="1000" w:type="pct"/>
            <w:vAlign w:val="center"/>
          </w:tcPr>
          <w:p w14:paraId="5539C9AF">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zh-CN" w:eastAsia="zh-CN" w:bidi="ar"/>
              </w:rPr>
            </w:pPr>
            <w:r>
              <w:rPr>
                <w:rFonts w:hint="eastAsia" w:ascii="仿宋" w:hAnsi="仿宋" w:eastAsia="仿宋" w:cs="仿宋"/>
                <w:i w:val="0"/>
                <w:iCs w:val="0"/>
                <w:color w:val="auto"/>
                <w:kern w:val="0"/>
                <w:sz w:val="22"/>
                <w:szCs w:val="22"/>
                <w:u w:val="none"/>
                <w:lang w:val="en-US" w:eastAsia="zh-CN" w:bidi="ar"/>
              </w:rPr>
              <w:t>288.14</w:t>
            </w:r>
          </w:p>
        </w:tc>
        <w:tc>
          <w:tcPr>
            <w:tcW w:w="1000" w:type="pct"/>
            <w:vAlign w:val="center"/>
          </w:tcPr>
          <w:p w14:paraId="681EEC5C">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zh-CN" w:eastAsia="zh-CN" w:bidi="ar"/>
              </w:rPr>
            </w:pPr>
            <w:r>
              <w:rPr>
                <w:rFonts w:hint="eastAsia" w:ascii="仿宋" w:hAnsi="仿宋" w:eastAsia="仿宋" w:cs="仿宋"/>
                <w:i w:val="0"/>
                <w:iCs w:val="0"/>
                <w:color w:val="auto"/>
                <w:kern w:val="0"/>
                <w:sz w:val="22"/>
                <w:szCs w:val="22"/>
                <w:u w:val="none"/>
                <w:lang w:val="en-US" w:eastAsia="zh-CN" w:bidi="ar"/>
              </w:rPr>
              <w:t>93.51%</w:t>
            </w:r>
          </w:p>
        </w:tc>
      </w:tr>
      <w:tr w14:paraId="5B1D4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997" w:type="pct"/>
            <w:vAlign w:val="center"/>
          </w:tcPr>
          <w:p w14:paraId="4D620BB9">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hint="default" w:ascii="Times New Roman" w:hAnsi="Times New Roman" w:eastAsia="宋体" w:cs="宋体"/>
                <w:bCs/>
                <w:color w:val="auto"/>
                <w:kern w:val="0"/>
                <w:sz w:val="22"/>
                <w:szCs w:val="22"/>
                <w:lang w:val="en-US" w:eastAsia="zh-CN" w:bidi="ar-SA"/>
              </w:rPr>
            </w:pPr>
            <w:bookmarkStart w:id="61" w:name="_Toc62481762"/>
            <w:r>
              <w:rPr>
                <w:rFonts w:hint="eastAsia" w:ascii="Times New Roman" w:hAnsi="Times New Roman" w:eastAsia="宋体" w:cs="宋体"/>
                <w:bCs/>
                <w:color w:val="auto"/>
                <w:kern w:val="0"/>
                <w:sz w:val="22"/>
                <w:szCs w:val="22"/>
                <w:lang w:val="en-US" w:eastAsia="zh-CN" w:bidi="ar-SA"/>
              </w:rPr>
              <w:t>合计</w:t>
            </w:r>
          </w:p>
        </w:tc>
        <w:tc>
          <w:tcPr>
            <w:tcW w:w="1000" w:type="pct"/>
            <w:vAlign w:val="center"/>
          </w:tcPr>
          <w:p w14:paraId="45338AEC">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2192.54</w:t>
            </w:r>
          </w:p>
        </w:tc>
        <w:tc>
          <w:tcPr>
            <w:tcW w:w="1000" w:type="pct"/>
            <w:vAlign w:val="center"/>
          </w:tcPr>
          <w:p w14:paraId="0CE7DB1F">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2473.58</w:t>
            </w:r>
          </w:p>
        </w:tc>
        <w:tc>
          <w:tcPr>
            <w:tcW w:w="1000" w:type="pct"/>
            <w:vAlign w:val="center"/>
          </w:tcPr>
          <w:p w14:paraId="755A3425">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2453.58</w:t>
            </w:r>
          </w:p>
        </w:tc>
        <w:tc>
          <w:tcPr>
            <w:tcW w:w="1000" w:type="pct"/>
            <w:vAlign w:val="center"/>
          </w:tcPr>
          <w:p w14:paraId="434FE541">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99.19%</w:t>
            </w:r>
          </w:p>
        </w:tc>
      </w:tr>
    </w:tbl>
    <w:p w14:paraId="5F8E0F2E">
      <w:pPr>
        <w:pStyle w:val="12"/>
        <w:pageBreakBefore w:val="0"/>
        <w:kinsoku/>
        <w:wordWrap/>
        <w:overflowPunct/>
        <w:topLinePunct w:val="0"/>
        <w:autoSpaceDE/>
        <w:autoSpaceDN/>
        <w:bidi w:val="0"/>
        <w:snapToGrid w:val="0"/>
        <w:spacing w:before="60" w:line="560" w:lineRule="exact"/>
        <w:ind w:left="0" w:leftChars="0" w:firstLine="482" w:firstLineChars="200"/>
        <w:outlineLvl w:val="9"/>
        <w:rPr>
          <w:rFonts w:hint="eastAsia"/>
          <w:color w:val="auto"/>
        </w:rPr>
      </w:pPr>
      <w:r>
        <w:rPr>
          <w:rFonts w:hint="eastAsia"/>
          <w:color w:val="auto"/>
        </w:rPr>
        <w:t>表</w:t>
      </w:r>
      <w:r>
        <w:rPr>
          <w:rFonts w:hint="eastAsia"/>
          <w:color w:val="auto"/>
          <w:lang w:val="en-US" w:eastAsia="zh-CN"/>
        </w:rPr>
        <w:t xml:space="preserve">2 </w:t>
      </w:r>
      <w:r>
        <w:rPr>
          <w:color w:val="auto"/>
        </w:rPr>
        <w:t xml:space="preserve"> 20</w:t>
      </w:r>
      <w:r>
        <w:rPr>
          <w:rFonts w:hint="eastAsia"/>
          <w:color w:val="auto"/>
          <w:lang w:val="en-US" w:eastAsia="zh-CN"/>
        </w:rPr>
        <w:t>21</w:t>
      </w:r>
      <w:r>
        <w:rPr>
          <w:color w:val="auto"/>
        </w:rPr>
        <w:t>年</w:t>
      </w:r>
      <w:r>
        <w:rPr>
          <w:rFonts w:hint="eastAsia"/>
          <w:color w:val="auto"/>
          <w:lang w:val="en-US" w:eastAsia="zh-CN"/>
        </w:rPr>
        <w:t>实验小学</w:t>
      </w:r>
      <w:r>
        <w:rPr>
          <w:rFonts w:hint="eastAsia"/>
          <w:color w:val="auto"/>
        </w:rPr>
        <w:t>项目支出明细表</w:t>
      </w:r>
    </w:p>
    <w:p w14:paraId="6167EC46">
      <w:pPr>
        <w:pStyle w:val="12"/>
        <w:pageBreakBefore w:val="0"/>
        <w:kinsoku/>
        <w:wordWrap/>
        <w:overflowPunct/>
        <w:topLinePunct w:val="0"/>
        <w:autoSpaceDE/>
        <w:autoSpaceDN/>
        <w:bidi w:val="0"/>
        <w:snapToGrid w:val="0"/>
        <w:spacing w:before="60" w:line="560" w:lineRule="exact"/>
        <w:ind w:left="0" w:leftChars="0" w:firstLine="480" w:firstLineChars="200"/>
        <w:jc w:val="right"/>
        <w:outlineLvl w:val="9"/>
        <w:rPr>
          <w:rFonts w:hint="eastAsia"/>
          <w:b w:val="0"/>
          <w:bCs/>
          <w:color w:val="auto"/>
          <w:lang w:val="en-US" w:eastAsia="zh-CN"/>
        </w:rPr>
      </w:pPr>
      <w:r>
        <w:rPr>
          <w:rFonts w:hint="eastAsia"/>
          <w:b w:val="0"/>
          <w:bCs/>
          <w:color w:val="auto"/>
          <w:lang w:val="en-US" w:eastAsia="zh-CN"/>
        </w:rPr>
        <w:t>单位：万元</w:t>
      </w:r>
    </w:p>
    <w:tbl>
      <w:tblPr>
        <w:tblStyle w:val="10"/>
        <w:tblW w:w="8737" w:type="dxa"/>
        <w:tblInd w:w="96" w:type="dxa"/>
        <w:shd w:val="clear" w:color="auto" w:fill="auto"/>
        <w:tblLayout w:type="autofit"/>
        <w:tblCellMar>
          <w:top w:w="0" w:type="dxa"/>
          <w:left w:w="108" w:type="dxa"/>
          <w:bottom w:w="0" w:type="dxa"/>
          <w:right w:w="108" w:type="dxa"/>
        </w:tblCellMar>
      </w:tblPr>
      <w:tblGrid>
        <w:gridCol w:w="881"/>
        <w:gridCol w:w="1832"/>
        <w:gridCol w:w="1545"/>
        <w:gridCol w:w="1324"/>
        <w:gridCol w:w="1435"/>
        <w:gridCol w:w="1720"/>
      </w:tblGrid>
      <w:tr w14:paraId="0EF4C665">
        <w:tblPrEx>
          <w:shd w:val="clear" w:color="auto" w:fill="auto"/>
          <w:tblCellMar>
            <w:top w:w="0" w:type="dxa"/>
            <w:left w:w="108" w:type="dxa"/>
            <w:bottom w:w="0" w:type="dxa"/>
            <w:right w:w="108" w:type="dxa"/>
          </w:tblCellMar>
        </w:tblPrEx>
        <w:trPr>
          <w:trHeight w:val="692" w:hRule="atLeast"/>
        </w:trPr>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1EC6C">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b/>
                <w:bCs/>
                <w:i w:val="0"/>
                <w:iCs w:val="0"/>
                <w:color w:val="auto"/>
                <w:sz w:val="22"/>
                <w:szCs w:val="22"/>
                <w:u w:val="none"/>
              </w:rPr>
            </w:pPr>
            <w:r>
              <w:rPr>
                <w:rFonts w:hint="eastAsia" w:ascii="仿宋" w:hAnsi="仿宋" w:eastAsia="仿宋" w:cs="仿宋"/>
                <w:b/>
                <w:bCs/>
                <w:i w:val="0"/>
                <w:iCs w:val="0"/>
                <w:color w:val="auto"/>
                <w:kern w:val="0"/>
                <w:sz w:val="22"/>
                <w:szCs w:val="22"/>
                <w:u w:val="none"/>
                <w:lang w:val="en-US" w:eastAsia="zh-CN" w:bidi="ar"/>
              </w:rPr>
              <w:t>序号</w:t>
            </w:r>
          </w:p>
        </w:tc>
        <w:tc>
          <w:tcPr>
            <w:tcW w:w="1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24148">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b/>
                <w:bCs/>
                <w:i w:val="0"/>
                <w:iCs w:val="0"/>
                <w:color w:val="auto"/>
                <w:sz w:val="22"/>
                <w:szCs w:val="22"/>
                <w:u w:val="none"/>
              </w:rPr>
            </w:pPr>
            <w:r>
              <w:rPr>
                <w:rFonts w:hint="eastAsia" w:ascii="仿宋" w:hAnsi="仿宋" w:eastAsia="仿宋" w:cs="仿宋"/>
                <w:b/>
                <w:bCs/>
                <w:i w:val="0"/>
                <w:iCs w:val="0"/>
                <w:color w:val="auto"/>
                <w:kern w:val="0"/>
                <w:sz w:val="22"/>
                <w:szCs w:val="22"/>
                <w:u w:val="none"/>
                <w:lang w:val="en-US" w:eastAsia="zh-CN" w:bidi="ar"/>
              </w:rPr>
              <w:t>项目类别</w:t>
            </w:r>
            <w:r>
              <w:rPr>
                <w:rStyle w:val="13"/>
                <w:rFonts w:hint="eastAsia" w:ascii="仿宋" w:hAnsi="仿宋" w:eastAsia="仿宋" w:cs="仿宋"/>
                <w:color w:val="auto"/>
                <w:lang w:val="en-US" w:eastAsia="zh-CN" w:bidi="ar"/>
              </w:rPr>
              <w:t>/</w:t>
            </w:r>
            <w:r>
              <w:rPr>
                <w:rStyle w:val="14"/>
                <w:rFonts w:ascii="仿宋" w:hAnsi="仿宋" w:eastAsia="仿宋" w:cs="仿宋"/>
                <w:color w:val="auto"/>
                <w:lang w:val="en-US" w:eastAsia="zh-CN" w:bidi="ar"/>
              </w:rPr>
              <w:t>名称</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2E350">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b/>
                <w:bCs/>
                <w:i w:val="0"/>
                <w:iCs w:val="0"/>
                <w:color w:val="auto"/>
                <w:sz w:val="22"/>
                <w:szCs w:val="22"/>
                <w:u w:val="none"/>
              </w:rPr>
            </w:pPr>
            <w:r>
              <w:rPr>
                <w:rFonts w:hint="eastAsia" w:ascii="仿宋" w:hAnsi="仿宋" w:eastAsia="仿宋" w:cs="仿宋"/>
                <w:b/>
                <w:bCs/>
                <w:i w:val="0"/>
                <w:iCs w:val="0"/>
                <w:color w:val="auto"/>
                <w:kern w:val="0"/>
                <w:sz w:val="22"/>
                <w:szCs w:val="22"/>
                <w:u w:val="none"/>
                <w:lang w:val="en-US" w:eastAsia="zh-CN" w:bidi="ar"/>
              </w:rPr>
              <w:t>年初预算数</w:t>
            </w:r>
          </w:p>
        </w:tc>
        <w:tc>
          <w:tcPr>
            <w:tcW w:w="13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CD368">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b/>
                <w:bCs/>
                <w:i w:val="0"/>
                <w:iCs w:val="0"/>
                <w:color w:val="auto"/>
                <w:kern w:val="0"/>
                <w:sz w:val="22"/>
                <w:szCs w:val="22"/>
                <w:u w:val="none"/>
                <w:lang w:val="en-US" w:eastAsia="zh-CN" w:bidi="ar"/>
              </w:rPr>
            </w:pPr>
            <w:r>
              <w:rPr>
                <w:rFonts w:hint="eastAsia" w:ascii="仿宋" w:hAnsi="仿宋" w:eastAsia="仿宋" w:cs="仿宋"/>
                <w:b/>
                <w:bCs/>
                <w:i w:val="0"/>
                <w:iCs w:val="0"/>
                <w:color w:val="auto"/>
                <w:kern w:val="0"/>
                <w:sz w:val="22"/>
                <w:szCs w:val="22"/>
                <w:u w:val="none"/>
                <w:lang w:val="en-US" w:eastAsia="zh-CN" w:bidi="ar"/>
              </w:rPr>
              <w:t>预算调整数</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F1BCA">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b/>
                <w:bCs/>
                <w:i w:val="0"/>
                <w:iCs w:val="0"/>
                <w:color w:val="auto"/>
                <w:sz w:val="22"/>
                <w:szCs w:val="22"/>
                <w:u w:val="none"/>
              </w:rPr>
            </w:pPr>
            <w:r>
              <w:rPr>
                <w:rFonts w:hint="eastAsia" w:ascii="仿宋" w:hAnsi="仿宋" w:eastAsia="仿宋" w:cs="仿宋"/>
                <w:b/>
                <w:bCs/>
                <w:i w:val="0"/>
                <w:iCs w:val="0"/>
                <w:color w:val="auto"/>
                <w:kern w:val="0"/>
                <w:sz w:val="22"/>
                <w:szCs w:val="22"/>
                <w:u w:val="none"/>
                <w:lang w:val="en-US" w:eastAsia="zh-CN" w:bidi="ar"/>
              </w:rPr>
              <w:t>实际支出数</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7348E">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b/>
                <w:bCs/>
                <w:i w:val="0"/>
                <w:iCs w:val="0"/>
                <w:color w:val="auto"/>
                <w:sz w:val="22"/>
                <w:szCs w:val="22"/>
                <w:u w:val="none"/>
              </w:rPr>
            </w:pPr>
            <w:r>
              <w:rPr>
                <w:rFonts w:hint="eastAsia" w:ascii="仿宋" w:hAnsi="仿宋" w:eastAsia="仿宋" w:cs="仿宋"/>
                <w:b/>
                <w:bCs/>
                <w:i w:val="0"/>
                <w:iCs w:val="0"/>
                <w:color w:val="auto"/>
                <w:kern w:val="0"/>
                <w:sz w:val="22"/>
                <w:szCs w:val="22"/>
                <w:u w:val="none"/>
                <w:lang w:val="en-US" w:eastAsia="zh-CN" w:bidi="ar"/>
              </w:rPr>
              <w:t>预算执行率</w:t>
            </w:r>
          </w:p>
        </w:tc>
      </w:tr>
      <w:tr w14:paraId="513E6BF7">
        <w:tblPrEx>
          <w:tblCellMar>
            <w:top w:w="0" w:type="dxa"/>
            <w:left w:w="108" w:type="dxa"/>
            <w:bottom w:w="0" w:type="dxa"/>
            <w:right w:w="108" w:type="dxa"/>
          </w:tblCellMar>
        </w:tblPrEx>
        <w:trPr>
          <w:trHeight w:val="410" w:hRule="atLeast"/>
        </w:trPr>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FBEC6">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1</w:t>
            </w:r>
          </w:p>
        </w:tc>
        <w:tc>
          <w:tcPr>
            <w:tcW w:w="1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61D1A">
            <w:pPr>
              <w:keepNext w:val="0"/>
              <w:keepLines w:val="0"/>
              <w:pageBreakBefore w:val="0"/>
              <w:widowControl/>
              <w:suppressLineNumbers w:val="0"/>
              <w:wordWrap/>
              <w:overflowPunct/>
              <w:topLinePunct w:val="0"/>
              <w:bidi w:val="0"/>
              <w:spacing w:line="560" w:lineRule="exact"/>
              <w:jc w:val="left"/>
              <w:textAlignment w:val="center"/>
              <w:rPr>
                <w:rFonts w:hint="eastAsia" w:ascii="仿宋" w:hAnsi="仿宋" w:eastAsia="仿宋" w:cs="仿宋"/>
                <w:i w:val="0"/>
                <w:iCs w:val="0"/>
                <w:color w:val="auto"/>
                <w:sz w:val="22"/>
                <w:szCs w:val="22"/>
                <w:u w:val="none"/>
              </w:rPr>
            </w:pPr>
            <w:r>
              <w:rPr>
                <w:rFonts w:hint="eastAsia" w:ascii="宋体" w:hAnsi="宋体" w:eastAsia="宋体" w:cs="宋体"/>
                <w:i w:val="0"/>
                <w:iCs w:val="0"/>
                <w:color w:val="000000"/>
                <w:kern w:val="0"/>
                <w:sz w:val="20"/>
                <w:szCs w:val="20"/>
                <w:u w:val="none"/>
                <w:lang w:val="en-US" w:eastAsia="zh-CN" w:bidi="ar"/>
              </w:rPr>
              <w:t xml:space="preserve"> 学生课桌椅 </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5ABAB">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 xml:space="preserve"> 14</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 xml:space="preserve">4 </w:t>
            </w:r>
          </w:p>
        </w:tc>
        <w:tc>
          <w:tcPr>
            <w:tcW w:w="13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0263D">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 xml:space="preserve"> 13</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 xml:space="preserve">50 </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FFCE2">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 xml:space="preserve"> 13</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 xml:space="preserve">50 </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761F4">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w:t>
            </w:r>
          </w:p>
        </w:tc>
      </w:tr>
      <w:tr w14:paraId="6623199D">
        <w:tblPrEx>
          <w:tblCellMar>
            <w:top w:w="0" w:type="dxa"/>
            <w:left w:w="108" w:type="dxa"/>
            <w:bottom w:w="0" w:type="dxa"/>
            <w:right w:w="108" w:type="dxa"/>
          </w:tblCellMar>
        </w:tblPrEx>
        <w:trPr>
          <w:trHeight w:val="357" w:hRule="atLeast"/>
        </w:trPr>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973C2">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2</w:t>
            </w:r>
          </w:p>
        </w:tc>
        <w:tc>
          <w:tcPr>
            <w:tcW w:w="1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53C09">
            <w:pPr>
              <w:keepNext w:val="0"/>
              <w:keepLines w:val="0"/>
              <w:pageBreakBefore w:val="0"/>
              <w:widowControl/>
              <w:suppressLineNumbers w:val="0"/>
              <w:wordWrap/>
              <w:overflowPunct/>
              <w:topLinePunct w:val="0"/>
              <w:bidi w:val="0"/>
              <w:spacing w:line="560" w:lineRule="exact"/>
              <w:jc w:val="left"/>
              <w:textAlignment w:val="center"/>
              <w:rPr>
                <w:rFonts w:hint="eastAsia" w:ascii="仿宋" w:hAnsi="仿宋" w:eastAsia="仿宋" w:cs="仿宋"/>
                <w:i w:val="0"/>
                <w:iCs w:val="0"/>
                <w:color w:val="auto"/>
                <w:sz w:val="22"/>
                <w:szCs w:val="22"/>
                <w:u w:val="none"/>
              </w:rPr>
            </w:pPr>
            <w:r>
              <w:rPr>
                <w:rFonts w:hint="eastAsia" w:ascii="宋体" w:hAnsi="宋体" w:eastAsia="宋体" w:cs="宋体"/>
                <w:i w:val="0"/>
                <w:iCs w:val="0"/>
                <w:color w:val="000000"/>
                <w:kern w:val="0"/>
                <w:sz w:val="20"/>
                <w:szCs w:val="20"/>
                <w:u w:val="none"/>
                <w:lang w:val="en-US" w:eastAsia="zh-CN" w:bidi="ar"/>
              </w:rPr>
              <w:t xml:space="preserve"> 纳米智慧黑板 </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F2A10">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 xml:space="preserve"> 88</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 xml:space="preserve">00 </w:t>
            </w:r>
          </w:p>
        </w:tc>
        <w:tc>
          <w:tcPr>
            <w:tcW w:w="13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D00EA">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 xml:space="preserve"> 77.00 </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B5F22">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 xml:space="preserve"> 77.00 </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24B4D">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w:t>
            </w:r>
          </w:p>
        </w:tc>
      </w:tr>
      <w:tr w14:paraId="03E6571F">
        <w:tblPrEx>
          <w:tblCellMar>
            <w:top w:w="0" w:type="dxa"/>
            <w:left w:w="108" w:type="dxa"/>
            <w:bottom w:w="0" w:type="dxa"/>
            <w:right w:w="108" w:type="dxa"/>
          </w:tblCellMar>
        </w:tblPrEx>
        <w:trPr>
          <w:trHeight w:val="357" w:hRule="atLeast"/>
        </w:trPr>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0A94E">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3</w:t>
            </w:r>
          </w:p>
        </w:tc>
        <w:tc>
          <w:tcPr>
            <w:tcW w:w="1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7DC17">
            <w:pPr>
              <w:keepNext w:val="0"/>
              <w:keepLines w:val="0"/>
              <w:pageBreakBefore w:val="0"/>
              <w:widowControl/>
              <w:suppressLineNumbers w:val="0"/>
              <w:wordWrap/>
              <w:overflowPunct/>
              <w:topLinePunct w:val="0"/>
              <w:bidi w:val="0"/>
              <w:spacing w:line="560" w:lineRule="exact"/>
              <w:jc w:val="left"/>
              <w:textAlignment w:val="center"/>
              <w:rPr>
                <w:rFonts w:hint="eastAsia" w:ascii="仿宋" w:hAnsi="仿宋" w:eastAsia="仿宋" w:cs="仿宋"/>
                <w:i w:val="0"/>
                <w:iCs w:val="0"/>
                <w:color w:val="auto"/>
                <w:sz w:val="22"/>
                <w:szCs w:val="22"/>
                <w:u w:val="none"/>
              </w:rPr>
            </w:pPr>
            <w:r>
              <w:rPr>
                <w:rFonts w:hint="eastAsia" w:ascii="宋体" w:hAnsi="宋体" w:eastAsia="宋体" w:cs="宋体"/>
                <w:i w:val="0"/>
                <w:iCs w:val="0"/>
                <w:color w:val="000000"/>
                <w:kern w:val="0"/>
                <w:sz w:val="20"/>
                <w:szCs w:val="20"/>
                <w:u w:val="none"/>
                <w:lang w:val="en-US" w:eastAsia="zh-CN" w:bidi="ar"/>
              </w:rPr>
              <w:t xml:space="preserve"> 生均公用经费 </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B13C8">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0</w:t>
            </w:r>
          </w:p>
        </w:tc>
        <w:tc>
          <w:tcPr>
            <w:tcW w:w="13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8A936">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 xml:space="preserve"> 192</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 xml:space="preserve">7 </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BA0D6">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 xml:space="preserve"> 192</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 xml:space="preserve">7 </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D9BCD">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w:t>
            </w:r>
          </w:p>
        </w:tc>
      </w:tr>
      <w:tr w14:paraId="4D49EDCC">
        <w:tblPrEx>
          <w:tblCellMar>
            <w:top w:w="0" w:type="dxa"/>
            <w:left w:w="108" w:type="dxa"/>
            <w:bottom w:w="0" w:type="dxa"/>
            <w:right w:w="108" w:type="dxa"/>
          </w:tblCellMar>
        </w:tblPrEx>
        <w:trPr>
          <w:trHeight w:val="357" w:hRule="atLeast"/>
        </w:trPr>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CC12B">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4</w:t>
            </w:r>
          </w:p>
        </w:tc>
        <w:tc>
          <w:tcPr>
            <w:tcW w:w="1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30193">
            <w:pPr>
              <w:keepNext w:val="0"/>
              <w:keepLines w:val="0"/>
              <w:pageBreakBefore w:val="0"/>
              <w:widowControl/>
              <w:suppressLineNumbers w:val="0"/>
              <w:wordWrap/>
              <w:overflowPunct/>
              <w:topLinePunct w:val="0"/>
              <w:bidi w:val="0"/>
              <w:spacing w:line="560" w:lineRule="exact"/>
              <w:jc w:val="left"/>
              <w:textAlignment w:val="center"/>
              <w:rPr>
                <w:rFonts w:hint="eastAsia" w:ascii="仿宋" w:hAnsi="仿宋" w:eastAsia="仿宋" w:cs="仿宋"/>
                <w:i w:val="0"/>
                <w:iCs w:val="0"/>
                <w:color w:val="auto"/>
                <w:sz w:val="22"/>
                <w:szCs w:val="22"/>
                <w:u w:val="none"/>
              </w:rPr>
            </w:pPr>
            <w:r>
              <w:rPr>
                <w:rStyle w:val="15"/>
                <w:lang w:val="en-US" w:eastAsia="zh-CN" w:bidi="ar"/>
              </w:rPr>
              <w:t xml:space="preserve"> 作业本</w:t>
            </w:r>
            <w:r>
              <w:rPr>
                <w:rFonts w:hint="default" w:ascii="Times New Roman" w:hAnsi="Times New Roman" w:eastAsia="宋体" w:cs="Times New Roman"/>
                <w:i w:val="0"/>
                <w:iCs w:val="0"/>
                <w:color w:val="000000"/>
                <w:kern w:val="0"/>
                <w:sz w:val="20"/>
                <w:szCs w:val="20"/>
                <w:u w:val="none"/>
                <w:lang w:val="en-US" w:eastAsia="zh-CN" w:bidi="ar"/>
              </w:rPr>
              <w:t xml:space="preserve">费  </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19FAD">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0</w:t>
            </w:r>
          </w:p>
        </w:tc>
        <w:tc>
          <w:tcPr>
            <w:tcW w:w="13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BB2E2">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 xml:space="preserve"> 4</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 xml:space="preserve">94 </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22818">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 xml:space="preserve"> 4</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 xml:space="preserve">94 </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25BA6">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w:t>
            </w:r>
          </w:p>
        </w:tc>
      </w:tr>
      <w:tr w14:paraId="2E94D609">
        <w:tblPrEx>
          <w:tblCellMar>
            <w:top w:w="0" w:type="dxa"/>
            <w:left w:w="108" w:type="dxa"/>
            <w:bottom w:w="0" w:type="dxa"/>
            <w:right w:w="108" w:type="dxa"/>
          </w:tblCellMar>
        </w:tblPrEx>
        <w:trPr>
          <w:trHeight w:val="422" w:hRule="atLeast"/>
        </w:trPr>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8EAF6">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5</w:t>
            </w:r>
          </w:p>
        </w:tc>
        <w:tc>
          <w:tcPr>
            <w:tcW w:w="1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62640">
            <w:pPr>
              <w:keepNext w:val="0"/>
              <w:keepLines w:val="0"/>
              <w:pageBreakBefore w:val="0"/>
              <w:widowControl/>
              <w:suppressLineNumbers w:val="0"/>
              <w:wordWrap/>
              <w:overflowPunct/>
              <w:topLinePunct w:val="0"/>
              <w:bidi w:val="0"/>
              <w:spacing w:line="560" w:lineRule="exact"/>
              <w:jc w:val="left"/>
              <w:textAlignment w:val="center"/>
              <w:rPr>
                <w:rFonts w:hint="eastAsia" w:ascii="仿宋" w:hAnsi="仿宋" w:eastAsia="仿宋" w:cs="仿宋"/>
                <w:i w:val="0"/>
                <w:iCs w:val="0"/>
                <w:color w:val="auto"/>
                <w:sz w:val="22"/>
                <w:szCs w:val="22"/>
                <w:u w:val="none"/>
              </w:rPr>
            </w:pPr>
            <w:r>
              <w:rPr>
                <w:rFonts w:hint="eastAsia" w:ascii="宋体" w:hAnsi="宋体" w:eastAsia="宋体" w:cs="宋体"/>
                <w:i w:val="0"/>
                <w:iCs w:val="0"/>
                <w:color w:val="000000"/>
                <w:kern w:val="0"/>
                <w:sz w:val="20"/>
                <w:szCs w:val="20"/>
                <w:u w:val="none"/>
                <w:lang w:val="en-US" w:eastAsia="zh-CN" w:bidi="ar"/>
              </w:rPr>
              <w:t xml:space="preserve"> 教育信息化建设 </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54CDE">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0</w:t>
            </w:r>
          </w:p>
        </w:tc>
        <w:tc>
          <w:tcPr>
            <w:tcW w:w="13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049F3">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 xml:space="preserve"> 20.00 </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2F635">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0</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C534B">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0%</w:t>
            </w:r>
          </w:p>
        </w:tc>
      </w:tr>
      <w:tr w14:paraId="310E1DC7">
        <w:tblPrEx>
          <w:tblCellMar>
            <w:top w:w="0" w:type="dxa"/>
            <w:left w:w="108" w:type="dxa"/>
            <w:bottom w:w="0" w:type="dxa"/>
            <w:right w:w="108" w:type="dxa"/>
          </w:tblCellMar>
        </w:tblPrEx>
        <w:trPr>
          <w:trHeight w:val="422" w:hRule="atLeast"/>
        </w:trPr>
        <w:tc>
          <w:tcPr>
            <w:tcW w:w="27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C56500">
            <w:pPr>
              <w:keepNext w:val="0"/>
              <w:keepLines w:val="0"/>
              <w:pageBreakBefore w:val="0"/>
              <w:widowControl/>
              <w:suppressLineNumbers w:val="0"/>
              <w:wordWrap/>
              <w:overflowPunct/>
              <w:topLinePunct w:val="0"/>
              <w:bidi w:val="0"/>
              <w:spacing w:line="560" w:lineRule="exact"/>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仿宋" w:hAnsi="仿宋" w:eastAsia="仿宋" w:cs="仿宋"/>
                <w:i w:val="0"/>
                <w:iCs w:val="0"/>
                <w:color w:val="auto"/>
                <w:kern w:val="0"/>
                <w:sz w:val="22"/>
                <w:szCs w:val="22"/>
                <w:u w:val="none"/>
                <w:lang w:val="en-US" w:eastAsia="zh-CN" w:bidi="ar"/>
              </w:rPr>
              <w:t>合计</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775E9">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102.4</w:t>
            </w:r>
          </w:p>
        </w:tc>
        <w:tc>
          <w:tcPr>
            <w:tcW w:w="13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F19D1">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308.14</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7644A">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288.14</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A71B0">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93.51%</w:t>
            </w:r>
          </w:p>
        </w:tc>
      </w:tr>
    </w:tbl>
    <w:p w14:paraId="4A05B903">
      <w:pPr>
        <w:pStyle w:val="3"/>
        <w:pageBreakBefore w:val="0"/>
        <w:kinsoku/>
        <w:wordWrap/>
        <w:overflowPunct/>
        <w:topLinePunct w:val="0"/>
        <w:autoSpaceDE/>
        <w:autoSpaceDN/>
        <w:bidi w:val="0"/>
        <w:spacing w:line="560" w:lineRule="exact"/>
        <w:ind w:left="0" w:firstLine="640" w:firstLineChars="200"/>
        <w:rPr>
          <w:rFonts w:hint="eastAsia"/>
          <w:color w:val="auto"/>
          <w:szCs w:val="32"/>
          <w:lang w:val="en-US" w:eastAsia="zh-CN"/>
        </w:rPr>
      </w:pPr>
      <w:bookmarkStart w:id="62" w:name="_Toc29409"/>
      <w:bookmarkStart w:id="63" w:name="_Toc17891"/>
      <w:bookmarkStart w:id="64" w:name="_Toc30362"/>
      <w:bookmarkStart w:id="65" w:name="_Toc6353"/>
      <w:bookmarkStart w:id="66" w:name="_Toc23816"/>
      <w:bookmarkStart w:id="67" w:name="_Toc25192"/>
      <w:bookmarkStart w:id="68" w:name="_Toc13919"/>
      <w:r>
        <w:rPr>
          <w:rFonts w:hint="eastAsia"/>
          <w:color w:val="auto"/>
          <w:szCs w:val="32"/>
          <w:lang w:val="en-US" w:eastAsia="zh-CN"/>
        </w:rPr>
        <w:t>绩效评价工作开展情况</w:t>
      </w:r>
      <w:bookmarkEnd w:id="62"/>
      <w:bookmarkEnd w:id="63"/>
      <w:bookmarkEnd w:id="64"/>
      <w:bookmarkEnd w:id="65"/>
      <w:bookmarkEnd w:id="66"/>
      <w:bookmarkEnd w:id="67"/>
      <w:bookmarkStart w:id="69" w:name="_Toc7193"/>
      <w:bookmarkStart w:id="70" w:name="_Toc13143809"/>
      <w:bookmarkStart w:id="71" w:name="_Toc13770545"/>
      <w:bookmarkStart w:id="72" w:name="_Toc15950"/>
      <w:bookmarkStart w:id="73" w:name="_Toc18103"/>
      <w:bookmarkStart w:id="74" w:name="_Toc6790"/>
      <w:bookmarkStart w:id="75" w:name="_Toc13141420"/>
    </w:p>
    <w:p w14:paraId="703B4190">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1"/>
        <w:rPr>
          <w:rFonts w:ascii="楷体" w:hAnsi="楷体" w:eastAsia="楷体"/>
          <w:b/>
          <w:bCs/>
          <w:color w:val="auto"/>
          <w:sz w:val="32"/>
          <w:szCs w:val="32"/>
          <w:highlight w:val="none"/>
        </w:rPr>
      </w:pPr>
      <w:bookmarkStart w:id="76" w:name="_Toc13512"/>
      <w:bookmarkStart w:id="77" w:name="_Toc25062"/>
      <w:bookmarkStart w:id="78" w:name="_Toc12533"/>
      <w:bookmarkStart w:id="79" w:name="_Toc8208"/>
      <w:bookmarkStart w:id="80" w:name="_Toc28893"/>
      <w:bookmarkStart w:id="81" w:name="_Toc23006_WPSOffice_Level2"/>
      <w:bookmarkStart w:id="82" w:name="_Toc5392"/>
      <w:bookmarkStart w:id="83" w:name="_Toc29832"/>
      <w:bookmarkStart w:id="84" w:name="_Toc16799"/>
      <w:bookmarkStart w:id="85" w:name="_Toc25687"/>
      <w:bookmarkStart w:id="86" w:name="_Toc10029"/>
      <w:r>
        <w:rPr>
          <w:rFonts w:hint="eastAsia" w:ascii="楷体" w:hAnsi="楷体" w:eastAsia="楷体"/>
          <w:b/>
          <w:bCs/>
          <w:color w:val="auto"/>
          <w:sz w:val="32"/>
          <w:szCs w:val="32"/>
          <w:highlight w:val="none"/>
        </w:rPr>
        <w:t>（一）绩效评价目的</w:t>
      </w:r>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0D977D22">
      <w:pPr>
        <w:pStyle w:val="8"/>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color w:val="auto"/>
          <w:highlight w:val="none"/>
        </w:rPr>
      </w:pPr>
      <w:r>
        <w:rPr>
          <w:rFonts w:hint="eastAsia" w:ascii="仿宋" w:hAnsi="仿宋" w:eastAsia="仿宋" w:cs="仿宋"/>
          <w:bCs/>
          <w:color w:val="auto"/>
          <w:sz w:val="32"/>
          <w:szCs w:val="32"/>
          <w:highlight w:val="none"/>
        </w:rPr>
        <w:t>为全面贯彻落实《中共中央国务院关于全面实施预算绩效管理的意见》（中发〔2018〕34号）、《四川省关于全面实施预算绩效管理的实施意见》（川委发〔2019〕8号）</w:t>
      </w:r>
      <w:r>
        <w:rPr>
          <w:rFonts w:hint="eastAsia" w:ascii="仿宋" w:hAnsi="仿宋" w:eastAsia="仿宋" w:cs="仿宋"/>
          <w:bCs/>
          <w:color w:val="auto"/>
          <w:sz w:val="32"/>
          <w:szCs w:val="32"/>
          <w:highlight w:val="none"/>
          <w:lang w:eastAsia="zh-CN"/>
        </w:rPr>
        <w:t>、</w:t>
      </w:r>
      <w:r>
        <w:rPr>
          <w:rFonts w:hint="eastAsia" w:ascii="仿宋" w:hAnsi="仿宋" w:eastAsia="仿宋" w:cs="仿宋"/>
          <w:bCs/>
          <w:color w:val="auto"/>
          <w:sz w:val="32"/>
          <w:szCs w:val="32"/>
          <w:highlight w:val="none"/>
        </w:rPr>
        <w:t>《关于开展2022年财政重点绩效评价工作的通知》（遂东区财发〔2022〕8号）等文件</w:t>
      </w:r>
      <w:r>
        <w:rPr>
          <w:rFonts w:hint="eastAsia" w:ascii="仿宋" w:hAnsi="仿宋" w:eastAsia="仿宋" w:cs="仿宋"/>
          <w:bCs/>
          <w:color w:val="auto"/>
          <w:sz w:val="32"/>
          <w:szCs w:val="32"/>
          <w:highlight w:val="none"/>
          <w:lang w:val="en-US" w:eastAsia="zh-CN"/>
        </w:rPr>
        <w:t>精神</w:t>
      </w:r>
      <w:r>
        <w:rPr>
          <w:rFonts w:hint="eastAsia" w:ascii="仿宋" w:hAnsi="仿宋" w:eastAsia="仿宋" w:cs="仿宋"/>
          <w:bCs/>
          <w:color w:val="auto"/>
          <w:sz w:val="32"/>
          <w:szCs w:val="32"/>
          <w:highlight w:val="none"/>
        </w:rPr>
        <w:t>，对</w:t>
      </w:r>
      <w:r>
        <w:rPr>
          <w:rFonts w:hint="eastAsia" w:ascii="仿宋" w:hAnsi="仿宋" w:eastAsia="仿宋" w:cs="仿宋"/>
          <w:bCs/>
          <w:color w:val="auto"/>
          <w:sz w:val="32"/>
          <w:szCs w:val="32"/>
          <w:highlight w:val="none"/>
          <w:lang w:val="en-US" w:eastAsia="zh-CN"/>
        </w:rPr>
        <w:t>实验小学</w:t>
      </w:r>
      <w:r>
        <w:rPr>
          <w:rFonts w:hint="eastAsia" w:ascii="仿宋" w:hAnsi="仿宋" w:eastAsia="仿宋" w:cs="仿宋"/>
          <w:bCs/>
          <w:color w:val="auto"/>
          <w:sz w:val="32"/>
          <w:szCs w:val="32"/>
          <w:highlight w:val="none"/>
        </w:rPr>
        <w:t>的</w:t>
      </w:r>
      <w:r>
        <w:rPr>
          <w:rFonts w:hint="eastAsia" w:ascii="仿宋" w:hAnsi="仿宋" w:eastAsia="仿宋" w:cs="仿宋"/>
          <w:bCs/>
          <w:color w:val="auto"/>
          <w:sz w:val="32"/>
          <w:szCs w:val="32"/>
          <w:highlight w:val="none"/>
          <w:lang w:val="en-US" w:eastAsia="zh-CN"/>
        </w:rPr>
        <w:t>基本履职绩效、重点履职绩效</w:t>
      </w:r>
      <w:r>
        <w:rPr>
          <w:rFonts w:hint="eastAsia" w:ascii="仿宋" w:hAnsi="仿宋" w:eastAsia="仿宋" w:cs="仿宋"/>
          <w:bCs/>
          <w:color w:val="auto"/>
          <w:sz w:val="32"/>
          <w:szCs w:val="32"/>
          <w:highlight w:val="none"/>
        </w:rPr>
        <w:t>情况</w:t>
      </w:r>
      <w:r>
        <w:rPr>
          <w:rFonts w:hint="eastAsia" w:ascii="仿宋" w:hAnsi="仿宋" w:eastAsia="仿宋" w:cs="仿宋"/>
          <w:bCs/>
          <w:color w:val="auto"/>
          <w:sz w:val="32"/>
          <w:szCs w:val="32"/>
          <w:highlight w:val="none"/>
          <w:lang w:val="en-US" w:eastAsia="zh-CN"/>
        </w:rPr>
        <w:t>和满意度</w:t>
      </w:r>
      <w:r>
        <w:rPr>
          <w:rFonts w:hint="eastAsia" w:ascii="仿宋" w:hAnsi="仿宋" w:eastAsia="仿宋" w:cs="仿宋"/>
          <w:bCs/>
          <w:color w:val="auto"/>
          <w:sz w:val="32"/>
          <w:szCs w:val="32"/>
          <w:highlight w:val="none"/>
        </w:rPr>
        <w:t>开展绩效评价。通过评价工作的实施，</w:t>
      </w:r>
      <w:r>
        <w:rPr>
          <w:rFonts w:hint="eastAsia" w:ascii="仿宋" w:hAnsi="仿宋" w:eastAsia="仿宋"/>
          <w:bCs/>
          <w:color w:val="auto"/>
          <w:sz w:val="32"/>
          <w:szCs w:val="32"/>
          <w:highlight w:val="none"/>
        </w:rPr>
        <w:t>全面反映</w:t>
      </w:r>
      <w:r>
        <w:rPr>
          <w:rFonts w:hint="eastAsia" w:ascii="仿宋" w:hAnsi="仿宋" w:eastAsia="仿宋" w:cs="仿宋"/>
          <w:bCs/>
          <w:color w:val="auto"/>
          <w:sz w:val="32"/>
          <w:szCs w:val="32"/>
          <w:highlight w:val="none"/>
          <w:lang w:val="en-US" w:eastAsia="zh-CN"/>
        </w:rPr>
        <w:t>实验小学</w:t>
      </w:r>
      <w:r>
        <w:rPr>
          <w:rFonts w:hint="eastAsia" w:ascii="仿宋" w:hAnsi="仿宋" w:eastAsia="仿宋"/>
          <w:bCs/>
          <w:color w:val="auto"/>
          <w:sz w:val="32"/>
          <w:szCs w:val="32"/>
          <w:highlight w:val="none"/>
        </w:rPr>
        <w:t>本级预算管理和核心业务实施效果，</w:t>
      </w:r>
      <w:r>
        <w:rPr>
          <w:rFonts w:hint="eastAsia" w:ascii="仿宋" w:hAnsi="仿宋" w:eastAsia="仿宋" w:cs="仿宋"/>
          <w:bCs/>
          <w:color w:val="auto"/>
          <w:sz w:val="32"/>
          <w:szCs w:val="32"/>
          <w:highlight w:val="none"/>
        </w:rPr>
        <w:t>总结经验、发现问题、剖析原因、提出改进建议，</w:t>
      </w:r>
      <w:r>
        <w:rPr>
          <w:rFonts w:hint="eastAsia" w:ascii="仿宋" w:hAnsi="仿宋" w:eastAsia="仿宋"/>
          <w:bCs/>
          <w:color w:val="auto"/>
          <w:sz w:val="32"/>
          <w:szCs w:val="32"/>
          <w:highlight w:val="none"/>
        </w:rPr>
        <w:t>促进单位科学决策、规范管理，提高部门整体绩效水平及财政资源配置效率和使用效益。</w:t>
      </w:r>
    </w:p>
    <w:p w14:paraId="513CEA40">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1"/>
        <w:rPr>
          <w:rFonts w:ascii="楷体" w:hAnsi="楷体" w:eastAsia="楷体"/>
          <w:b/>
          <w:bCs/>
          <w:color w:val="auto"/>
          <w:sz w:val="32"/>
          <w:szCs w:val="32"/>
        </w:rPr>
      </w:pPr>
      <w:bookmarkStart w:id="87" w:name="_Toc13141421"/>
      <w:bookmarkStart w:id="88" w:name="_Toc17402"/>
      <w:bookmarkStart w:id="89" w:name="_Toc19292"/>
      <w:bookmarkStart w:id="90" w:name="_Toc9878"/>
      <w:bookmarkStart w:id="91" w:name="_Toc17573"/>
      <w:bookmarkStart w:id="92" w:name="_Toc31613_WPSOffice_Level2"/>
      <w:bookmarkStart w:id="93" w:name="_Toc13143810"/>
      <w:bookmarkStart w:id="94" w:name="_Toc13770546"/>
      <w:bookmarkStart w:id="95" w:name="_Toc21650"/>
      <w:bookmarkStart w:id="96" w:name="_Toc17814"/>
      <w:bookmarkStart w:id="97" w:name="_Toc3542"/>
      <w:bookmarkStart w:id="98" w:name="_Toc10212"/>
      <w:bookmarkStart w:id="99" w:name="_Toc9258"/>
      <w:bookmarkStart w:id="100" w:name="_Toc25098"/>
      <w:bookmarkStart w:id="101" w:name="_Toc6480"/>
      <w:bookmarkStart w:id="102" w:name="_Toc4272"/>
      <w:bookmarkStart w:id="103" w:name="_Toc29545"/>
      <w:bookmarkStart w:id="104" w:name="_Toc31996"/>
      <w:r>
        <w:rPr>
          <w:rFonts w:hint="eastAsia" w:ascii="楷体" w:hAnsi="楷体" w:eastAsia="楷体"/>
          <w:b/>
          <w:bCs/>
          <w:color w:val="auto"/>
          <w:sz w:val="32"/>
          <w:szCs w:val="32"/>
        </w:rPr>
        <w:t>（二）绩效评价原则、方法</w:t>
      </w:r>
      <w:bookmarkEnd w:id="87"/>
      <w:bookmarkEnd w:id="88"/>
      <w:bookmarkEnd w:id="89"/>
      <w:bookmarkEnd w:id="90"/>
      <w:bookmarkEnd w:id="91"/>
      <w:bookmarkEnd w:id="92"/>
      <w:bookmarkEnd w:id="93"/>
      <w:bookmarkEnd w:id="94"/>
      <w:r>
        <w:rPr>
          <w:rFonts w:hint="eastAsia" w:ascii="楷体" w:hAnsi="楷体" w:eastAsia="楷体"/>
          <w:b/>
          <w:bCs/>
          <w:color w:val="auto"/>
          <w:sz w:val="32"/>
          <w:szCs w:val="32"/>
        </w:rPr>
        <w:t>与标准</w:t>
      </w:r>
      <w:bookmarkEnd w:id="95"/>
      <w:bookmarkEnd w:id="96"/>
      <w:bookmarkEnd w:id="97"/>
      <w:bookmarkEnd w:id="98"/>
      <w:bookmarkEnd w:id="99"/>
      <w:bookmarkEnd w:id="100"/>
      <w:bookmarkEnd w:id="101"/>
      <w:bookmarkEnd w:id="102"/>
      <w:bookmarkEnd w:id="103"/>
      <w:bookmarkEnd w:id="104"/>
    </w:p>
    <w:p w14:paraId="1D500EEA">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2"/>
        <w:rPr>
          <w:rFonts w:hint="eastAsia" w:ascii="仿宋" w:hAnsi="仿宋" w:eastAsia="仿宋" w:cs="仿宋"/>
          <w:b/>
          <w:color w:val="auto"/>
          <w:sz w:val="32"/>
          <w:szCs w:val="32"/>
        </w:rPr>
      </w:pPr>
      <w:bookmarkStart w:id="105" w:name="_Toc13675"/>
      <w:bookmarkStart w:id="106" w:name="_Toc32107"/>
      <w:bookmarkStart w:id="107" w:name="_Toc21953"/>
      <w:bookmarkStart w:id="108" w:name="_Toc32207"/>
      <w:r>
        <w:rPr>
          <w:rFonts w:ascii="仿宋" w:hAnsi="仿宋" w:eastAsia="仿宋" w:cs="仿宋"/>
          <w:b/>
          <w:color w:val="auto"/>
          <w:sz w:val="32"/>
          <w:szCs w:val="32"/>
        </w:rPr>
        <w:t>1.</w:t>
      </w:r>
      <w:r>
        <w:rPr>
          <w:rFonts w:hint="eastAsia" w:ascii="仿宋" w:hAnsi="仿宋" w:eastAsia="仿宋" w:cs="仿宋"/>
          <w:b/>
          <w:color w:val="auto"/>
          <w:sz w:val="32"/>
          <w:szCs w:val="32"/>
        </w:rPr>
        <w:t>评价原则</w:t>
      </w:r>
      <w:bookmarkEnd w:id="105"/>
      <w:bookmarkEnd w:id="106"/>
      <w:bookmarkEnd w:id="107"/>
      <w:bookmarkEnd w:id="108"/>
    </w:p>
    <w:p w14:paraId="7ED23BF1">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本次评价工作本着问题导向、系统评价、科学客观、讲求绩效的原则，采用全面评价和重点评价相结合、现场评价和非现场评价相结合、定性分析与定量分析相结合的方式，对</w:t>
      </w:r>
      <w:r>
        <w:rPr>
          <w:rFonts w:hint="eastAsia" w:ascii="仿宋" w:hAnsi="仿宋" w:eastAsia="仿宋" w:cs="仿宋"/>
          <w:bCs/>
          <w:color w:val="auto"/>
          <w:sz w:val="32"/>
          <w:szCs w:val="32"/>
          <w:lang w:val="en-US" w:eastAsia="zh-CN"/>
        </w:rPr>
        <w:t>实验小学</w:t>
      </w:r>
      <w:r>
        <w:rPr>
          <w:rFonts w:hint="eastAsia" w:ascii="仿宋" w:hAnsi="仿宋" w:eastAsia="仿宋" w:cs="仿宋"/>
          <w:bCs/>
          <w:color w:val="auto"/>
          <w:sz w:val="32"/>
          <w:szCs w:val="32"/>
        </w:rPr>
        <w:t>整体的</w:t>
      </w:r>
      <w:r>
        <w:rPr>
          <w:rFonts w:hint="eastAsia" w:ascii="仿宋" w:hAnsi="仿宋" w:eastAsia="仿宋" w:cs="仿宋"/>
          <w:bCs/>
          <w:color w:val="auto"/>
          <w:sz w:val="32"/>
          <w:szCs w:val="32"/>
          <w:lang w:val="en-US" w:eastAsia="zh-CN"/>
        </w:rPr>
        <w:t>基本履职绩效和重点履职绩效</w:t>
      </w:r>
      <w:r>
        <w:rPr>
          <w:rFonts w:hint="eastAsia" w:ascii="仿宋" w:hAnsi="仿宋" w:eastAsia="仿宋" w:cs="仿宋"/>
          <w:bCs/>
          <w:color w:val="auto"/>
          <w:sz w:val="32"/>
          <w:szCs w:val="32"/>
        </w:rPr>
        <w:t>情况开展绩效评价</w:t>
      </w:r>
    </w:p>
    <w:p w14:paraId="28D59B25">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2"/>
        <w:rPr>
          <w:rFonts w:ascii="仿宋" w:hAnsi="仿宋" w:eastAsia="仿宋" w:cs="仿宋"/>
          <w:b/>
          <w:color w:val="auto"/>
          <w:sz w:val="32"/>
          <w:szCs w:val="32"/>
        </w:rPr>
      </w:pPr>
      <w:bookmarkStart w:id="109" w:name="_Toc30841"/>
      <w:bookmarkStart w:id="110" w:name="_Toc10927"/>
      <w:bookmarkStart w:id="111" w:name="_Toc24556"/>
      <w:bookmarkStart w:id="112" w:name="_Toc3502"/>
      <w:r>
        <w:rPr>
          <w:rFonts w:ascii="仿宋" w:hAnsi="仿宋" w:eastAsia="仿宋" w:cs="仿宋"/>
          <w:b/>
          <w:color w:val="auto"/>
          <w:sz w:val="32"/>
          <w:szCs w:val="32"/>
        </w:rPr>
        <w:t>2.</w:t>
      </w:r>
      <w:r>
        <w:rPr>
          <w:rFonts w:hint="eastAsia" w:ascii="仿宋" w:hAnsi="仿宋" w:eastAsia="仿宋" w:cs="仿宋"/>
          <w:b/>
          <w:color w:val="auto"/>
          <w:sz w:val="32"/>
          <w:szCs w:val="32"/>
        </w:rPr>
        <w:t>评价方法</w:t>
      </w:r>
      <w:bookmarkEnd w:id="109"/>
      <w:bookmarkEnd w:id="110"/>
      <w:bookmarkEnd w:id="111"/>
      <w:bookmarkEnd w:id="112"/>
    </w:p>
    <w:p w14:paraId="496C03A4">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围绕</w:t>
      </w:r>
      <w:r>
        <w:rPr>
          <w:rFonts w:hint="eastAsia" w:ascii="仿宋" w:hAnsi="仿宋" w:eastAsia="仿宋" w:cs="仿宋"/>
          <w:bCs/>
          <w:color w:val="auto"/>
          <w:sz w:val="32"/>
          <w:szCs w:val="32"/>
          <w:highlight w:val="none"/>
          <w:lang w:val="en-US" w:eastAsia="zh-CN"/>
        </w:rPr>
        <w:t>实验小学</w:t>
      </w:r>
      <w:r>
        <w:rPr>
          <w:rFonts w:hint="eastAsia" w:ascii="仿宋" w:hAnsi="仿宋" w:eastAsia="仿宋" w:cs="仿宋"/>
          <w:bCs/>
          <w:color w:val="auto"/>
          <w:sz w:val="32"/>
          <w:szCs w:val="32"/>
        </w:rPr>
        <w:t>单位职责，以预算资金管理为主线，统筹考虑业务活动，立足统计工作的定位，确保“职能-机构-资金-</w:t>
      </w:r>
      <w:r>
        <w:rPr>
          <w:rFonts w:hint="eastAsia" w:ascii="仿宋" w:hAnsi="仿宋" w:eastAsia="仿宋" w:cs="仿宋"/>
          <w:bCs/>
          <w:color w:val="auto"/>
          <w:sz w:val="32"/>
          <w:szCs w:val="32"/>
          <w:lang w:val="en-US" w:eastAsia="zh-CN"/>
        </w:rPr>
        <w:t>绩效</w:t>
      </w:r>
      <w:r>
        <w:rPr>
          <w:rFonts w:hint="eastAsia" w:ascii="仿宋" w:hAnsi="仿宋" w:eastAsia="仿宋" w:cs="仿宋"/>
          <w:bCs/>
          <w:color w:val="auto"/>
          <w:sz w:val="32"/>
          <w:szCs w:val="32"/>
        </w:rPr>
        <w:t>”的有效衔接。评价过程中主要采用卷宗研究法、对比分析法、公众评判法、成本效益分析法、因素分析法等方法。</w:t>
      </w:r>
    </w:p>
    <w:p w14:paraId="1CC8AC3C">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2"/>
        <w:rPr>
          <w:rFonts w:hint="eastAsia" w:ascii="仿宋" w:hAnsi="仿宋" w:eastAsia="仿宋" w:cs="仿宋"/>
          <w:b/>
          <w:color w:val="auto"/>
          <w:sz w:val="32"/>
          <w:szCs w:val="32"/>
        </w:rPr>
      </w:pPr>
      <w:bookmarkStart w:id="113" w:name="_Toc9165"/>
      <w:bookmarkStart w:id="114" w:name="_Toc85"/>
      <w:bookmarkStart w:id="115" w:name="_Toc18386"/>
      <w:bookmarkStart w:id="116" w:name="_Toc5198"/>
      <w:bookmarkStart w:id="117" w:name="_Toc23867"/>
      <w:bookmarkStart w:id="118" w:name="_Toc13141422"/>
      <w:bookmarkStart w:id="119" w:name="_Toc13770547"/>
      <w:bookmarkStart w:id="120" w:name="_Toc25534_WPSOffice_Level2"/>
      <w:bookmarkStart w:id="121" w:name="_Toc23454"/>
      <w:bookmarkStart w:id="122" w:name="_Toc12564"/>
      <w:bookmarkStart w:id="123" w:name="_Toc14245"/>
      <w:bookmarkStart w:id="124" w:name="_Toc13143811"/>
      <w:r>
        <w:rPr>
          <w:rFonts w:hint="eastAsia" w:ascii="仿宋" w:hAnsi="仿宋" w:eastAsia="仿宋" w:cs="仿宋"/>
          <w:b/>
          <w:color w:val="auto"/>
          <w:sz w:val="32"/>
          <w:szCs w:val="32"/>
        </w:rPr>
        <w:t>3.评价指标体系</w:t>
      </w:r>
      <w:bookmarkEnd w:id="113"/>
      <w:bookmarkEnd w:id="114"/>
      <w:bookmarkEnd w:id="115"/>
      <w:bookmarkEnd w:id="116"/>
    </w:p>
    <w:p w14:paraId="23628B3D">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lang w:eastAsia="zh-CN"/>
        </w:rPr>
      </w:pPr>
      <w:r>
        <w:rPr>
          <w:rFonts w:hint="eastAsia" w:ascii="仿宋" w:hAnsi="仿宋" w:eastAsia="仿宋" w:cs="仿宋"/>
          <w:bCs/>
          <w:color w:val="auto"/>
          <w:sz w:val="32"/>
          <w:szCs w:val="32"/>
        </w:rPr>
        <w:t>本次评价工作设置指标体系包括</w:t>
      </w:r>
      <w:r>
        <w:rPr>
          <w:rFonts w:hint="eastAsia" w:ascii="仿宋" w:hAnsi="仿宋" w:eastAsia="仿宋" w:cs="仿宋"/>
          <w:bCs/>
          <w:color w:val="auto"/>
          <w:sz w:val="32"/>
          <w:szCs w:val="32"/>
          <w:lang w:val="en-US" w:eastAsia="zh-CN"/>
        </w:rPr>
        <w:t>部门预算管理、绩效结果应用和自评质量3</w:t>
      </w:r>
      <w:r>
        <w:rPr>
          <w:rFonts w:hint="eastAsia" w:ascii="仿宋" w:hAnsi="仿宋" w:eastAsia="仿宋" w:cs="仿宋"/>
          <w:bCs/>
          <w:color w:val="auto"/>
          <w:sz w:val="32"/>
          <w:szCs w:val="32"/>
        </w:rPr>
        <w:t>个一级指标，</w:t>
      </w:r>
      <w:r>
        <w:rPr>
          <w:rFonts w:hint="eastAsia" w:ascii="仿宋" w:hAnsi="仿宋" w:eastAsia="仿宋" w:cs="仿宋"/>
          <w:bCs/>
          <w:color w:val="auto"/>
          <w:sz w:val="32"/>
          <w:szCs w:val="32"/>
          <w:lang w:val="en-US" w:eastAsia="zh-CN"/>
        </w:rPr>
        <w:t>6</w:t>
      </w:r>
      <w:r>
        <w:rPr>
          <w:rFonts w:hint="eastAsia" w:ascii="仿宋" w:hAnsi="仿宋" w:eastAsia="仿宋" w:cs="仿宋"/>
          <w:bCs/>
          <w:color w:val="auto"/>
          <w:sz w:val="32"/>
          <w:szCs w:val="32"/>
        </w:rPr>
        <w:t>个二级指标和</w:t>
      </w:r>
      <w:r>
        <w:rPr>
          <w:rFonts w:hint="eastAsia" w:ascii="仿宋" w:hAnsi="仿宋" w:eastAsia="仿宋" w:cs="仿宋"/>
          <w:bCs/>
          <w:color w:val="auto"/>
          <w:sz w:val="32"/>
          <w:szCs w:val="32"/>
          <w:lang w:val="en-US" w:eastAsia="zh-CN"/>
        </w:rPr>
        <w:t>12</w:t>
      </w:r>
      <w:r>
        <w:rPr>
          <w:rFonts w:hint="eastAsia" w:ascii="仿宋" w:hAnsi="仿宋" w:eastAsia="仿宋" w:cs="仿宋"/>
          <w:bCs/>
          <w:color w:val="auto"/>
          <w:sz w:val="32"/>
          <w:szCs w:val="32"/>
        </w:rPr>
        <w:t>个三级指标，指标体系详见附件。指标体系</w:t>
      </w:r>
      <w:r>
        <w:rPr>
          <w:rFonts w:hint="eastAsia" w:ascii="仿宋" w:hAnsi="仿宋" w:eastAsia="仿宋" w:cs="仿宋"/>
          <w:bCs/>
          <w:color w:val="auto"/>
          <w:sz w:val="32"/>
          <w:szCs w:val="32"/>
          <w:lang w:eastAsia="zh-CN"/>
        </w:rPr>
        <w:t>分值</w:t>
      </w:r>
      <w:r>
        <w:rPr>
          <w:rFonts w:hint="eastAsia" w:ascii="仿宋" w:hAnsi="仿宋" w:eastAsia="仿宋" w:cs="仿宋"/>
          <w:bCs/>
          <w:color w:val="auto"/>
          <w:sz w:val="32"/>
          <w:szCs w:val="32"/>
        </w:rPr>
        <w:t>为100分</w:t>
      </w:r>
      <w:r>
        <w:rPr>
          <w:rFonts w:hint="eastAsia" w:ascii="仿宋" w:hAnsi="仿宋" w:eastAsia="仿宋" w:cs="仿宋"/>
          <w:bCs/>
          <w:color w:val="auto"/>
          <w:sz w:val="32"/>
          <w:szCs w:val="32"/>
          <w:lang w:eastAsia="zh-CN"/>
        </w:rPr>
        <w:t>。</w:t>
      </w:r>
    </w:p>
    <w:p w14:paraId="6658FCF5">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2"/>
        <w:rPr>
          <w:rFonts w:hint="eastAsia" w:ascii="仿宋" w:hAnsi="仿宋" w:eastAsia="仿宋" w:cs="仿宋"/>
          <w:b/>
          <w:color w:val="auto"/>
          <w:sz w:val="32"/>
          <w:szCs w:val="32"/>
          <w:lang w:eastAsia="zh-CN"/>
        </w:rPr>
      </w:pPr>
      <w:r>
        <w:rPr>
          <w:rFonts w:hint="eastAsia" w:ascii="仿宋" w:hAnsi="仿宋" w:eastAsia="仿宋" w:cs="仿宋"/>
          <w:b/>
          <w:color w:val="auto"/>
          <w:sz w:val="32"/>
          <w:szCs w:val="32"/>
          <w:lang w:val="en-US" w:eastAsia="zh-CN"/>
        </w:rPr>
        <w:t>4.</w:t>
      </w:r>
      <w:r>
        <w:rPr>
          <w:rFonts w:hint="eastAsia" w:ascii="仿宋" w:hAnsi="仿宋" w:eastAsia="仿宋" w:cs="仿宋"/>
          <w:b/>
          <w:color w:val="auto"/>
          <w:sz w:val="32"/>
          <w:szCs w:val="32"/>
          <w:lang w:eastAsia="zh-CN"/>
        </w:rPr>
        <w:t>评价标准</w:t>
      </w:r>
    </w:p>
    <w:p w14:paraId="659D5D61">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lang w:eastAsia="zh-CN"/>
        </w:rPr>
      </w:pPr>
      <w:r>
        <w:rPr>
          <w:rFonts w:hint="eastAsia" w:ascii="仿宋" w:hAnsi="仿宋" w:eastAsia="仿宋" w:cs="仿宋"/>
          <w:bCs/>
          <w:color w:val="auto"/>
          <w:sz w:val="32"/>
          <w:szCs w:val="32"/>
          <w:lang w:eastAsia="zh-CN"/>
        </w:rPr>
        <w:t>本次评价结果参考《财政部关于印发&lt;项目支出绩效评价管理办法&gt;的通知》（财预〔2020〕10号）要求分为四个等级，分为优、良、中、差。</w:t>
      </w:r>
    </w:p>
    <w:p w14:paraId="22C8ACBD">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lang w:eastAsia="zh-CN"/>
        </w:rPr>
      </w:pPr>
      <w:r>
        <w:rPr>
          <w:rFonts w:hint="eastAsia" w:ascii="仿宋" w:hAnsi="仿宋" w:eastAsia="仿宋" w:cs="仿宋"/>
          <w:bCs/>
          <w:color w:val="auto"/>
          <w:sz w:val="32"/>
          <w:szCs w:val="32"/>
          <w:lang w:eastAsia="zh-CN"/>
        </w:rPr>
        <w:t>综合得分在100—90分（含90分）为优；</w:t>
      </w:r>
    </w:p>
    <w:p w14:paraId="59AFB052">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lang w:eastAsia="zh-CN"/>
        </w:rPr>
      </w:pPr>
      <w:r>
        <w:rPr>
          <w:rFonts w:hint="eastAsia" w:ascii="仿宋" w:hAnsi="仿宋" w:eastAsia="仿宋" w:cs="仿宋"/>
          <w:bCs/>
          <w:color w:val="auto"/>
          <w:sz w:val="32"/>
          <w:szCs w:val="32"/>
          <w:lang w:eastAsia="zh-CN"/>
        </w:rPr>
        <w:t>综合得分在90—80分（含80分）为良；</w:t>
      </w:r>
    </w:p>
    <w:p w14:paraId="2ECC5A68">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lang w:eastAsia="zh-CN"/>
        </w:rPr>
      </w:pPr>
      <w:r>
        <w:rPr>
          <w:rFonts w:hint="eastAsia" w:ascii="仿宋" w:hAnsi="仿宋" w:eastAsia="仿宋" w:cs="仿宋"/>
          <w:bCs/>
          <w:color w:val="auto"/>
          <w:sz w:val="32"/>
          <w:szCs w:val="32"/>
          <w:lang w:eastAsia="zh-CN"/>
        </w:rPr>
        <w:t>综合得分在80—60分（含60分）为中；</w:t>
      </w:r>
    </w:p>
    <w:p w14:paraId="4E645674">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lang w:eastAsia="zh-CN"/>
        </w:rPr>
      </w:pPr>
      <w:r>
        <w:rPr>
          <w:rFonts w:hint="eastAsia" w:ascii="仿宋" w:hAnsi="仿宋" w:eastAsia="仿宋" w:cs="仿宋"/>
          <w:bCs/>
          <w:color w:val="auto"/>
          <w:sz w:val="32"/>
          <w:szCs w:val="32"/>
          <w:lang w:eastAsia="zh-CN"/>
        </w:rPr>
        <w:t>综合得分在60分以下为差。</w:t>
      </w:r>
    </w:p>
    <w:p w14:paraId="22DD340A">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1"/>
        <w:rPr>
          <w:rFonts w:ascii="楷体" w:hAnsi="楷体" w:eastAsia="楷体"/>
          <w:b/>
          <w:bCs/>
          <w:color w:val="auto"/>
          <w:sz w:val="32"/>
          <w:szCs w:val="32"/>
        </w:rPr>
      </w:pPr>
      <w:bookmarkStart w:id="125" w:name="_Toc27947"/>
      <w:bookmarkStart w:id="126" w:name="_Toc31144"/>
      <w:bookmarkStart w:id="127" w:name="_Toc24502"/>
      <w:bookmarkStart w:id="128" w:name="_Toc26752"/>
      <w:bookmarkStart w:id="129" w:name="_Toc15540"/>
      <w:bookmarkStart w:id="130" w:name="_Toc12140"/>
      <w:bookmarkStart w:id="131" w:name="_Toc31636"/>
      <w:bookmarkStart w:id="132" w:name="_Toc15513"/>
      <w:bookmarkStart w:id="133" w:name="_Toc4947"/>
      <w:bookmarkStart w:id="134" w:name="_Toc28142"/>
      <w:r>
        <w:rPr>
          <w:rFonts w:hint="eastAsia" w:ascii="楷体" w:hAnsi="楷体" w:eastAsia="楷体"/>
          <w:b/>
          <w:bCs/>
          <w:color w:val="auto"/>
          <w:sz w:val="32"/>
          <w:szCs w:val="32"/>
        </w:rPr>
        <w:t>（三）绩效评价工作过程</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7AA05AC5">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2"/>
        <w:rPr>
          <w:rFonts w:ascii="仿宋" w:hAnsi="仿宋" w:eastAsia="仿宋" w:cs="仿宋"/>
          <w:b/>
          <w:color w:val="auto"/>
          <w:sz w:val="32"/>
          <w:szCs w:val="32"/>
        </w:rPr>
      </w:pPr>
      <w:bookmarkStart w:id="135" w:name="_Toc4356"/>
      <w:bookmarkStart w:id="136" w:name="_Toc12381"/>
      <w:bookmarkStart w:id="137" w:name="_Toc16621"/>
      <w:bookmarkStart w:id="138" w:name="_Toc31096"/>
      <w:r>
        <w:rPr>
          <w:rFonts w:ascii="仿宋" w:hAnsi="仿宋" w:eastAsia="仿宋" w:cs="仿宋"/>
          <w:b/>
          <w:color w:val="auto"/>
          <w:sz w:val="32"/>
          <w:szCs w:val="32"/>
        </w:rPr>
        <w:t>1.</w:t>
      </w:r>
      <w:r>
        <w:rPr>
          <w:rFonts w:hint="eastAsia" w:ascii="仿宋" w:hAnsi="仿宋" w:eastAsia="仿宋" w:cs="仿宋"/>
          <w:b/>
          <w:color w:val="auto"/>
          <w:sz w:val="32"/>
          <w:szCs w:val="32"/>
        </w:rPr>
        <w:t>准备阶段</w:t>
      </w:r>
      <w:bookmarkEnd w:id="135"/>
      <w:bookmarkEnd w:id="136"/>
      <w:bookmarkEnd w:id="137"/>
      <w:bookmarkEnd w:id="138"/>
    </w:p>
    <w:p w14:paraId="5ADCB796">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接受</w:t>
      </w:r>
      <w:r>
        <w:rPr>
          <w:rFonts w:hint="eastAsia" w:ascii="仿宋" w:hAnsi="仿宋" w:eastAsia="仿宋" w:cs="仿宋"/>
          <w:bCs/>
          <w:color w:val="auto"/>
          <w:sz w:val="32"/>
          <w:szCs w:val="32"/>
          <w:lang w:val="en-US" w:eastAsia="zh-CN"/>
        </w:rPr>
        <w:t>遂宁市河东新区国资金融局委托</w:t>
      </w:r>
      <w:r>
        <w:rPr>
          <w:rFonts w:hint="eastAsia" w:ascii="仿宋" w:hAnsi="仿宋" w:eastAsia="仿宋" w:cs="仿宋"/>
          <w:bCs/>
          <w:color w:val="auto"/>
          <w:sz w:val="32"/>
          <w:szCs w:val="32"/>
        </w:rPr>
        <w:t>，组建评价工作组。与单位财务管理部对接，明确具体工作安排及要求，初步沟通并收取部分单位基础材料。通过查看</w:t>
      </w:r>
      <w:r>
        <w:rPr>
          <w:rFonts w:hint="eastAsia" w:ascii="仿宋" w:hAnsi="仿宋" w:eastAsia="仿宋" w:cs="仿宋"/>
          <w:bCs/>
          <w:color w:val="auto"/>
          <w:sz w:val="32"/>
          <w:szCs w:val="32"/>
          <w:lang w:val="en-US" w:eastAsia="zh-CN"/>
        </w:rPr>
        <w:t>实验小学</w:t>
      </w:r>
      <w:r>
        <w:rPr>
          <w:rFonts w:hint="eastAsia" w:ascii="仿宋" w:hAnsi="仿宋" w:eastAsia="仿宋" w:cs="仿宋"/>
          <w:bCs/>
          <w:color w:val="auto"/>
          <w:sz w:val="32"/>
          <w:szCs w:val="32"/>
        </w:rPr>
        <w:t>初步提交的资料，及网上查阅资料，了解</w:t>
      </w:r>
      <w:r>
        <w:rPr>
          <w:rFonts w:hint="eastAsia" w:ascii="仿宋" w:hAnsi="仿宋" w:eastAsia="仿宋" w:cs="仿宋"/>
          <w:bCs/>
          <w:color w:val="auto"/>
          <w:sz w:val="32"/>
          <w:szCs w:val="32"/>
          <w:lang w:eastAsia="zh-CN"/>
        </w:rPr>
        <w:t>实验小学</w:t>
      </w:r>
      <w:r>
        <w:rPr>
          <w:rFonts w:hint="eastAsia" w:ascii="仿宋" w:hAnsi="仿宋" w:eastAsia="仿宋" w:cs="仿宋"/>
          <w:bCs/>
          <w:color w:val="auto"/>
          <w:sz w:val="32"/>
          <w:szCs w:val="32"/>
        </w:rPr>
        <w:t>整体情况、各</w:t>
      </w:r>
      <w:r>
        <w:rPr>
          <w:rFonts w:hint="eastAsia" w:ascii="仿宋" w:hAnsi="仿宋" w:eastAsia="仿宋" w:cs="仿宋"/>
          <w:bCs/>
          <w:color w:val="auto"/>
          <w:sz w:val="32"/>
          <w:szCs w:val="32"/>
          <w:lang w:val="en-US" w:eastAsia="zh-CN"/>
        </w:rPr>
        <w:t>办公室</w:t>
      </w:r>
      <w:r>
        <w:rPr>
          <w:rFonts w:hint="eastAsia" w:ascii="仿宋" w:hAnsi="仿宋" w:eastAsia="仿宋" w:cs="仿宋"/>
          <w:bCs/>
          <w:color w:val="auto"/>
          <w:sz w:val="32"/>
          <w:szCs w:val="32"/>
        </w:rPr>
        <w:t>工作职责及20</w:t>
      </w:r>
      <w:r>
        <w:rPr>
          <w:rFonts w:hint="eastAsia" w:ascii="仿宋" w:hAnsi="仿宋" w:eastAsia="仿宋" w:cs="仿宋"/>
          <w:bCs/>
          <w:color w:val="auto"/>
          <w:sz w:val="32"/>
          <w:szCs w:val="32"/>
          <w:lang w:val="en-US" w:eastAsia="zh-CN"/>
        </w:rPr>
        <w:t>21</w:t>
      </w:r>
      <w:r>
        <w:rPr>
          <w:rFonts w:hint="eastAsia" w:ascii="仿宋" w:hAnsi="仿宋" w:eastAsia="仿宋" w:cs="仿宋"/>
          <w:bCs/>
          <w:color w:val="auto"/>
          <w:sz w:val="32"/>
          <w:szCs w:val="32"/>
        </w:rPr>
        <w:t>年工作完成情况，明确评价思路，初步拟定评价指标体系及评分标准。</w:t>
      </w:r>
    </w:p>
    <w:p w14:paraId="40D07FBF">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2"/>
        <w:rPr>
          <w:rFonts w:ascii="仿宋" w:hAnsi="仿宋" w:eastAsia="仿宋" w:cs="仿宋"/>
          <w:b/>
          <w:color w:val="auto"/>
          <w:sz w:val="32"/>
          <w:szCs w:val="32"/>
        </w:rPr>
      </w:pPr>
      <w:bookmarkStart w:id="139" w:name="_Toc28295"/>
      <w:bookmarkStart w:id="140" w:name="_Toc25755"/>
      <w:bookmarkStart w:id="141" w:name="_Toc12942"/>
      <w:bookmarkStart w:id="142" w:name="_Toc15505"/>
      <w:r>
        <w:rPr>
          <w:rFonts w:ascii="仿宋" w:hAnsi="仿宋" w:eastAsia="仿宋" w:cs="仿宋"/>
          <w:b/>
          <w:color w:val="auto"/>
          <w:sz w:val="32"/>
          <w:szCs w:val="32"/>
        </w:rPr>
        <w:t>2.</w:t>
      </w:r>
      <w:r>
        <w:rPr>
          <w:rFonts w:hint="eastAsia" w:ascii="仿宋" w:hAnsi="仿宋" w:eastAsia="仿宋" w:cs="仿宋"/>
          <w:b/>
          <w:color w:val="auto"/>
          <w:sz w:val="32"/>
          <w:szCs w:val="32"/>
        </w:rPr>
        <w:t>实施阶段</w:t>
      </w:r>
      <w:bookmarkEnd w:id="139"/>
      <w:bookmarkEnd w:id="140"/>
      <w:bookmarkEnd w:id="141"/>
      <w:bookmarkEnd w:id="142"/>
    </w:p>
    <w:p w14:paraId="07A7374E">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cs="仿宋"/>
          <w:bCs/>
          <w:color w:val="auto"/>
          <w:sz w:val="32"/>
          <w:szCs w:val="32"/>
        </w:rPr>
      </w:pPr>
      <w:r>
        <w:rPr>
          <w:rFonts w:hint="eastAsia" w:ascii="仿宋" w:hAnsi="仿宋" w:eastAsia="仿宋" w:cs="仿宋"/>
          <w:bCs/>
          <w:color w:val="auto"/>
          <w:sz w:val="32"/>
          <w:szCs w:val="32"/>
        </w:rPr>
        <w:t>按照既定的安排开展现场评价工作。评价工作组逐一对单位本级各</w:t>
      </w:r>
      <w:r>
        <w:rPr>
          <w:rFonts w:hint="eastAsia" w:ascii="仿宋" w:hAnsi="仿宋" w:eastAsia="仿宋" w:cs="仿宋"/>
          <w:bCs/>
          <w:color w:val="auto"/>
          <w:sz w:val="32"/>
          <w:szCs w:val="32"/>
          <w:lang w:val="en-US" w:eastAsia="zh-CN"/>
        </w:rPr>
        <w:t>办公室</w:t>
      </w:r>
      <w:r>
        <w:rPr>
          <w:rFonts w:hint="eastAsia" w:ascii="仿宋" w:hAnsi="仿宋" w:eastAsia="仿宋" w:cs="仿宋"/>
          <w:bCs/>
          <w:color w:val="auto"/>
          <w:sz w:val="32"/>
          <w:szCs w:val="32"/>
        </w:rPr>
        <w:t>进行座谈，了解各</w:t>
      </w:r>
      <w:r>
        <w:rPr>
          <w:rFonts w:hint="eastAsia" w:ascii="仿宋" w:hAnsi="仿宋" w:eastAsia="仿宋" w:cs="仿宋"/>
          <w:bCs/>
          <w:color w:val="auto"/>
          <w:sz w:val="32"/>
          <w:szCs w:val="32"/>
          <w:lang w:val="en-US" w:eastAsia="zh-CN"/>
        </w:rPr>
        <w:t>办公室</w:t>
      </w:r>
      <w:r>
        <w:rPr>
          <w:rFonts w:hint="eastAsia" w:ascii="仿宋" w:hAnsi="仿宋" w:eastAsia="仿宋" w:cs="仿宋"/>
          <w:bCs/>
          <w:color w:val="auto"/>
          <w:sz w:val="32"/>
          <w:szCs w:val="32"/>
        </w:rPr>
        <w:t>工作职责、年度工作内容及完成情况等。同时对单位</w:t>
      </w:r>
      <w:r>
        <w:rPr>
          <w:rFonts w:hint="eastAsia" w:ascii="仿宋" w:hAnsi="仿宋" w:eastAsia="仿宋" w:cs="仿宋"/>
          <w:bCs/>
          <w:color w:val="auto"/>
          <w:sz w:val="32"/>
          <w:szCs w:val="32"/>
          <w:lang w:val="en-US" w:eastAsia="zh-CN"/>
        </w:rPr>
        <w:t>2021</w:t>
      </w:r>
      <w:r>
        <w:rPr>
          <w:rFonts w:hint="eastAsia" w:ascii="仿宋" w:hAnsi="仿宋" w:eastAsia="仿宋" w:cs="仿宋"/>
          <w:bCs/>
          <w:color w:val="auto"/>
          <w:sz w:val="32"/>
          <w:szCs w:val="32"/>
        </w:rPr>
        <w:t>年财务工作情况进行梳理及资料查看。</w:t>
      </w:r>
    </w:p>
    <w:p w14:paraId="6C5C4133">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在座谈调研沟通的基础上，评价机构通过对项目资料的进一步分析，并结合现场调研了解的情况，对项目的疑难点进行梳理，同时补收评价资料。</w:t>
      </w:r>
    </w:p>
    <w:p w14:paraId="24AC2A0C">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2"/>
        <w:rPr>
          <w:rFonts w:ascii="仿宋" w:hAnsi="仿宋" w:eastAsia="仿宋" w:cs="仿宋"/>
          <w:b/>
          <w:color w:val="auto"/>
          <w:sz w:val="32"/>
          <w:szCs w:val="32"/>
        </w:rPr>
      </w:pPr>
      <w:bookmarkStart w:id="143" w:name="_Toc11785"/>
      <w:bookmarkStart w:id="144" w:name="_Toc15764"/>
      <w:bookmarkStart w:id="145" w:name="_Toc30011"/>
      <w:bookmarkStart w:id="146" w:name="_Toc24606"/>
      <w:r>
        <w:rPr>
          <w:rFonts w:ascii="仿宋" w:hAnsi="仿宋" w:eastAsia="仿宋" w:cs="仿宋"/>
          <w:b/>
          <w:color w:val="auto"/>
          <w:sz w:val="32"/>
          <w:szCs w:val="32"/>
        </w:rPr>
        <w:t>3.</w:t>
      </w:r>
      <w:r>
        <w:rPr>
          <w:rFonts w:hint="eastAsia" w:ascii="仿宋" w:hAnsi="仿宋" w:eastAsia="仿宋" w:cs="仿宋"/>
          <w:b/>
          <w:color w:val="auto"/>
          <w:sz w:val="32"/>
          <w:szCs w:val="32"/>
        </w:rPr>
        <w:t>总结报告阶段</w:t>
      </w:r>
      <w:bookmarkEnd w:id="143"/>
      <w:bookmarkEnd w:id="144"/>
      <w:bookmarkEnd w:id="145"/>
      <w:bookmarkEnd w:id="146"/>
    </w:p>
    <w:p w14:paraId="6D04332F">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评价工作组在梳理、分析调研资料和相关数据的基础上，结合文献研究，对单位整体的投入、过程、产出和效益等方面进行综合分析和评价，形成绩效评价结论，按照规定的文本格式和内容撰写绩效评价报告</w:t>
      </w:r>
      <w:r>
        <w:rPr>
          <w:rFonts w:hint="eastAsia" w:ascii="仿宋" w:hAnsi="仿宋" w:eastAsia="仿宋" w:cs="仿宋"/>
          <w:bCs/>
          <w:color w:val="auto"/>
          <w:sz w:val="32"/>
          <w:szCs w:val="32"/>
          <w:lang w:eastAsia="zh-CN"/>
        </w:rPr>
        <w:t>，</w:t>
      </w:r>
      <w:r>
        <w:rPr>
          <w:rFonts w:hint="eastAsia" w:ascii="仿宋" w:hAnsi="仿宋" w:eastAsia="仿宋" w:cs="仿宋"/>
          <w:bCs/>
          <w:color w:val="auto"/>
          <w:sz w:val="32"/>
          <w:szCs w:val="32"/>
          <w:lang w:val="en-US" w:eastAsia="zh-CN"/>
        </w:rPr>
        <w:t>并征求委托单位意见，修改完善报告，完成报告质量内部质控等工作</w:t>
      </w:r>
      <w:r>
        <w:rPr>
          <w:rFonts w:hint="eastAsia" w:ascii="仿宋" w:hAnsi="仿宋" w:eastAsia="仿宋" w:cs="仿宋"/>
          <w:bCs/>
          <w:color w:val="auto"/>
          <w:sz w:val="32"/>
          <w:szCs w:val="32"/>
        </w:rPr>
        <w:t>。</w:t>
      </w:r>
    </w:p>
    <w:p w14:paraId="0033CCB0">
      <w:pPr>
        <w:pStyle w:val="3"/>
        <w:pageBreakBefore w:val="0"/>
        <w:kinsoku/>
        <w:wordWrap/>
        <w:overflowPunct/>
        <w:topLinePunct w:val="0"/>
        <w:autoSpaceDE/>
        <w:autoSpaceDN/>
        <w:bidi w:val="0"/>
        <w:adjustRightInd w:val="0"/>
        <w:spacing w:line="560" w:lineRule="exact"/>
        <w:ind w:left="0" w:firstLine="640" w:firstLineChars="200"/>
        <w:rPr>
          <w:rFonts w:hint="eastAsia"/>
          <w:color w:val="auto"/>
        </w:rPr>
      </w:pPr>
      <w:bookmarkStart w:id="147" w:name="_Toc27981"/>
      <w:bookmarkStart w:id="148" w:name="_Toc16620"/>
      <w:bookmarkStart w:id="149" w:name="_Toc22706"/>
      <w:bookmarkStart w:id="150" w:name="_Toc17921"/>
      <w:bookmarkStart w:id="151" w:name="_Toc10512"/>
      <w:r>
        <w:rPr>
          <w:rFonts w:hint="eastAsia"/>
          <w:color w:val="auto"/>
        </w:rPr>
        <w:t>基本运行绩效情况</w:t>
      </w:r>
      <w:bookmarkEnd w:id="61"/>
      <w:bookmarkEnd w:id="68"/>
      <w:bookmarkEnd w:id="147"/>
      <w:bookmarkEnd w:id="148"/>
      <w:bookmarkEnd w:id="149"/>
      <w:bookmarkEnd w:id="150"/>
      <w:bookmarkEnd w:id="151"/>
    </w:p>
    <w:p w14:paraId="73ABC70D">
      <w:pPr>
        <w:pStyle w:val="5"/>
        <w:pageBreakBefore w:val="0"/>
        <w:widowControl w:val="0"/>
        <w:kinsoku/>
        <w:wordWrap/>
        <w:overflowPunct/>
        <w:topLinePunct w:val="0"/>
        <w:autoSpaceDE/>
        <w:autoSpaceDN/>
        <w:bidi w:val="0"/>
        <w:adjustRightInd w:val="0"/>
        <w:snapToGrid/>
        <w:spacing w:line="560" w:lineRule="exact"/>
        <w:ind w:left="-10" w:leftChars="0" w:firstLine="643" w:firstLineChars="200"/>
        <w:textAlignment w:val="auto"/>
        <w:rPr>
          <w:color w:val="auto"/>
        </w:rPr>
      </w:pPr>
      <w:bookmarkStart w:id="152" w:name="_Toc21855"/>
      <w:bookmarkStart w:id="153" w:name="_Toc10751"/>
      <w:bookmarkStart w:id="154" w:name="_Toc32198"/>
      <w:bookmarkStart w:id="155" w:name="_Toc29329"/>
      <w:bookmarkStart w:id="156" w:name="_Toc1022"/>
      <w:bookmarkStart w:id="157" w:name="_Toc706605171"/>
      <w:bookmarkStart w:id="158" w:name="_Toc59985828"/>
      <w:bookmarkStart w:id="159" w:name="_Toc10226"/>
      <w:r>
        <w:rPr>
          <w:rFonts w:hint="eastAsia"/>
          <w:color w:val="auto"/>
          <w:lang w:val="en-US" w:eastAsia="zh-CN"/>
        </w:rPr>
        <w:t>预算管理情况</w:t>
      </w:r>
      <w:bookmarkEnd w:id="152"/>
      <w:bookmarkEnd w:id="153"/>
      <w:bookmarkEnd w:id="154"/>
      <w:bookmarkEnd w:id="155"/>
      <w:bookmarkEnd w:id="156"/>
    </w:p>
    <w:p w14:paraId="0D2FE255">
      <w:pPr>
        <w:pStyle w:val="6"/>
        <w:pageBreakBefore w:val="0"/>
        <w:widowControl w:val="0"/>
        <w:numPr>
          <w:ilvl w:val="-1"/>
          <w:numId w:val="0"/>
          <w:ins w:id="0" w:author="WPS_10036724" w:date=""/>
        </w:numPr>
        <w:kinsoku/>
        <w:wordWrap/>
        <w:overflowPunct/>
        <w:topLinePunct w:val="0"/>
        <w:autoSpaceDE/>
        <w:autoSpaceDN/>
        <w:bidi w:val="0"/>
        <w:adjustRightInd w:val="0"/>
        <w:snapToGrid/>
        <w:spacing w:line="560" w:lineRule="exact"/>
        <w:ind w:left="0" w:leftChars="0" w:firstLine="842" w:firstLineChars="262"/>
        <w:textAlignment w:val="auto"/>
        <w:outlineLvl w:val="2"/>
        <w:rPr>
          <w:rFonts w:hint="eastAsia" w:ascii="仿宋" w:hAnsi="仿宋" w:eastAsia="仿宋" w:cs="仿宋"/>
          <w:b/>
          <w:bCs w:val="0"/>
          <w:color w:val="auto"/>
        </w:rPr>
      </w:pPr>
      <w:bookmarkStart w:id="160" w:name="_Toc17733"/>
      <w:r>
        <w:rPr>
          <w:rFonts w:hint="eastAsia" w:ascii="仿宋" w:hAnsi="仿宋" w:eastAsia="仿宋" w:cs="仿宋"/>
          <w:b/>
          <w:bCs w:val="0"/>
          <w:color w:val="auto"/>
          <w:lang w:val="en-US" w:eastAsia="zh-CN"/>
        </w:rPr>
        <w:t>1、内控</w:t>
      </w:r>
      <w:r>
        <w:rPr>
          <w:rFonts w:hint="eastAsia" w:ascii="仿宋" w:hAnsi="仿宋" w:eastAsia="仿宋" w:cs="仿宋"/>
          <w:b/>
          <w:bCs w:val="0"/>
          <w:color w:val="auto"/>
        </w:rPr>
        <w:t>制度建设</w:t>
      </w:r>
      <w:bookmarkEnd w:id="157"/>
      <w:bookmarkEnd w:id="158"/>
      <w:bookmarkEnd w:id="159"/>
      <w:bookmarkEnd w:id="160"/>
    </w:p>
    <w:p w14:paraId="2B3D25E1">
      <w:pPr>
        <w:pStyle w:val="4"/>
        <w:pageBreakBefore w:val="0"/>
        <w:widowControl w:val="0"/>
        <w:kinsoku/>
        <w:wordWrap/>
        <w:overflowPunct/>
        <w:topLinePunct w:val="0"/>
        <w:autoSpaceDE/>
        <w:autoSpaceDN/>
        <w:bidi w:val="0"/>
        <w:adjustRightInd w:val="0"/>
        <w:spacing w:line="560" w:lineRule="exact"/>
        <w:ind w:firstLine="640" w:firstLineChars="200"/>
        <w:textAlignment w:val="auto"/>
        <w:rPr>
          <w:rFonts w:hint="default"/>
          <w:color w:val="auto"/>
          <w:highlight w:val="none"/>
          <w:lang w:val="en-US"/>
        </w:rPr>
      </w:pPr>
      <w:r>
        <w:rPr>
          <w:rFonts w:hint="eastAsia"/>
          <w:color w:val="auto"/>
          <w:lang w:val="en-US" w:eastAsia="zh-CN"/>
        </w:rPr>
        <w:t>实验小学</w:t>
      </w:r>
      <w:r>
        <w:rPr>
          <w:rFonts w:hint="eastAsia"/>
          <w:color w:val="auto"/>
        </w:rPr>
        <w:t>根据《行政事业单位内部控制规范》（财会〔201</w:t>
      </w:r>
      <w:r>
        <w:rPr>
          <w:rFonts w:hint="eastAsia"/>
          <w:color w:val="auto"/>
          <w:lang w:val="en-US" w:eastAsia="zh-CN"/>
        </w:rPr>
        <w:t>2</w:t>
      </w:r>
      <w:r>
        <w:rPr>
          <w:rFonts w:hint="eastAsia"/>
          <w:color w:val="auto"/>
        </w:rPr>
        <w:t>〕</w:t>
      </w:r>
      <w:r>
        <w:rPr>
          <w:rFonts w:hint="eastAsia"/>
          <w:color w:val="auto"/>
          <w:lang w:val="en-US" w:eastAsia="zh-CN"/>
        </w:rPr>
        <w:t>21</w:t>
      </w:r>
      <w:r>
        <w:rPr>
          <w:rFonts w:hint="eastAsia"/>
          <w:color w:val="auto"/>
        </w:rPr>
        <w:t>号）</w:t>
      </w:r>
      <w:r>
        <w:rPr>
          <w:rFonts w:hint="eastAsia"/>
          <w:color w:val="auto"/>
          <w:lang w:eastAsia="zh-CN"/>
        </w:rPr>
        <w:t>、《财政部关于全面推进行政事业单位内部控制建设的指导意见》</w:t>
      </w:r>
      <w:r>
        <w:rPr>
          <w:rFonts w:hint="eastAsia"/>
          <w:color w:val="auto"/>
        </w:rPr>
        <w:t>财会〔201</w:t>
      </w:r>
      <w:r>
        <w:rPr>
          <w:rFonts w:hint="eastAsia"/>
          <w:color w:val="auto"/>
          <w:lang w:val="en-US" w:eastAsia="zh-CN"/>
        </w:rPr>
        <w:t>5</w:t>
      </w:r>
      <w:r>
        <w:rPr>
          <w:rFonts w:hint="eastAsia"/>
          <w:color w:val="auto"/>
        </w:rPr>
        <w:t>〕</w:t>
      </w:r>
      <w:r>
        <w:rPr>
          <w:rFonts w:hint="eastAsia"/>
          <w:color w:val="auto"/>
          <w:lang w:val="en-US" w:eastAsia="zh-CN"/>
        </w:rPr>
        <w:t>24</w:t>
      </w:r>
      <w:r>
        <w:rPr>
          <w:rFonts w:hint="eastAsia"/>
          <w:color w:val="auto"/>
        </w:rPr>
        <w:t>号）和《行政事业单位内部控制报告管理制度（试行）（</w:t>
      </w:r>
      <w:r>
        <w:rPr>
          <w:rFonts w:hint="eastAsia"/>
          <w:color w:val="auto"/>
          <w:lang w:val="en-US" w:eastAsia="zh-CN"/>
        </w:rPr>
        <w:t>财政部</w:t>
      </w:r>
      <w:r>
        <w:rPr>
          <w:rFonts w:hint="eastAsia"/>
          <w:color w:val="auto"/>
        </w:rPr>
        <w:t>〔201</w:t>
      </w:r>
      <w:r>
        <w:rPr>
          <w:rFonts w:hint="eastAsia"/>
          <w:color w:val="auto"/>
          <w:lang w:val="en-US" w:eastAsia="zh-CN"/>
        </w:rPr>
        <w:t>7</w:t>
      </w:r>
      <w:r>
        <w:rPr>
          <w:rFonts w:hint="eastAsia"/>
          <w:color w:val="auto"/>
        </w:rPr>
        <w:t>〕</w:t>
      </w:r>
      <w:r>
        <w:rPr>
          <w:rFonts w:hint="eastAsia"/>
          <w:color w:val="auto"/>
          <w:lang w:val="en-US" w:eastAsia="zh-CN"/>
        </w:rPr>
        <w:t>3</w:t>
      </w:r>
      <w:r>
        <w:rPr>
          <w:rFonts w:hint="eastAsia"/>
          <w:color w:val="auto"/>
        </w:rPr>
        <w:t>号）和自身工作管理实际情况，</w:t>
      </w:r>
      <w:r>
        <w:rPr>
          <w:rFonts w:hint="eastAsia"/>
          <w:color w:val="auto"/>
          <w:lang w:val="en-US" w:eastAsia="zh-CN"/>
        </w:rPr>
        <w:t>制定</w:t>
      </w:r>
      <w:r>
        <w:rPr>
          <w:rFonts w:hint="eastAsia"/>
          <w:color w:val="auto"/>
        </w:rPr>
        <w:t>《</w:t>
      </w:r>
      <w:r>
        <w:rPr>
          <w:rFonts w:hint="eastAsia"/>
          <w:color w:val="auto"/>
          <w:lang w:val="en-US" w:eastAsia="zh-CN"/>
        </w:rPr>
        <w:t>遂宁市河东新区河东实验小学校内部控制规范建设手册汇编》</w:t>
      </w:r>
      <w:r>
        <w:rPr>
          <w:rFonts w:hint="eastAsia"/>
          <w:color w:val="auto"/>
        </w:rPr>
        <w:t>，</w:t>
      </w:r>
      <w:r>
        <w:rPr>
          <w:rFonts w:hint="eastAsia"/>
          <w:color w:val="auto"/>
          <w:lang w:val="en-US" w:eastAsia="zh-CN"/>
        </w:rPr>
        <w:t>内容明确</w:t>
      </w:r>
      <w:r>
        <w:rPr>
          <w:rFonts w:hint="eastAsia"/>
          <w:color w:val="auto"/>
        </w:rPr>
        <w:t>了</w:t>
      </w:r>
      <w:r>
        <w:rPr>
          <w:rFonts w:hint="eastAsia"/>
          <w:color w:val="auto"/>
          <w:lang w:eastAsia="zh-CN"/>
        </w:rPr>
        <w:t>实验小学</w:t>
      </w:r>
      <w:r>
        <w:rPr>
          <w:rFonts w:hint="eastAsia"/>
          <w:color w:val="auto"/>
          <w:lang w:val="en-US" w:eastAsia="zh-CN"/>
        </w:rPr>
        <w:t>内部各层级职责</w:t>
      </w:r>
      <w:r>
        <w:rPr>
          <w:rFonts w:hint="eastAsia"/>
          <w:color w:val="auto"/>
        </w:rPr>
        <w:t>、</w:t>
      </w:r>
      <w:r>
        <w:rPr>
          <w:rFonts w:hint="eastAsia"/>
          <w:color w:val="auto"/>
          <w:lang w:val="en-US" w:eastAsia="zh-CN"/>
        </w:rPr>
        <w:t>预算业务控制建设、收支业务控制建设、资产业务控制建设、采购业务控制建设和合同业务控制建设等内容</w:t>
      </w:r>
      <w:r>
        <w:rPr>
          <w:rFonts w:hint="eastAsia"/>
          <w:color w:val="auto"/>
        </w:rPr>
        <w:t>。</w:t>
      </w:r>
      <w:r>
        <w:rPr>
          <w:rFonts w:hint="eastAsia"/>
          <w:color w:val="auto"/>
          <w:highlight w:val="none"/>
        </w:rPr>
        <w:t>经评价组核查，</w:t>
      </w:r>
      <w:r>
        <w:rPr>
          <w:rFonts w:hint="eastAsia"/>
          <w:color w:val="auto"/>
          <w:highlight w:val="none"/>
          <w:lang w:val="en-US" w:eastAsia="zh-CN"/>
        </w:rPr>
        <w:t>制度内容合法规范，图表完整。</w:t>
      </w:r>
    </w:p>
    <w:p w14:paraId="586212B5">
      <w:pPr>
        <w:pStyle w:val="4"/>
        <w:pageBreakBefore w:val="0"/>
        <w:widowControl w:val="0"/>
        <w:kinsoku/>
        <w:wordWrap/>
        <w:overflowPunct/>
        <w:topLinePunct w:val="0"/>
        <w:autoSpaceDE/>
        <w:autoSpaceDN/>
        <w:bidi w:val="0"/>
        <w:adjustRightInd w:val="0"/>
        <w:spacing w:line="560" w:lineRule="exact"/>
        <w:ind w:firstLine="643" w:firstLineChars="200"/>
        <w:textAlignment w:val="auto"/>
        <w:outlineLvl w:val="2"/>
        <w:rPr>
          <w:rFonts w:hint="default"/>
          <w:b/>
          <w:bCs/>
          <w:color w:val="auto"/>
          <w:highlight w:val="none"/>
          <w:lang w:val="en-US" w:eastAsia="zh-CN"/>
        </w:rPr>
      </w:pPr>
      <w:bookmarkStart w:id="161" w:name="_Toc9519"/>
      <w:r>
        <w:rPr>
          <w:rFonts w:hint="eastAsia"/>
          <w:b/>
          <w:bCs/>
          <w:color w:val="auto"/>
          <w:highlight w:val="none"/>
          <w:lang w:val="en-US" w:eastAsia="zh-CN"/>
        </w:rPr>
        <w:t>2、预决算信息公开情况</w:t>
      </w:r>
      <w:bookmarkEnd w:id="161"/>
    </w:p>
    <w:p w14:paraId="15EE48E9">
      <w:pPr>
        <w:pStyle w:val="4"/>
        <w:pageBreakBefore w:val="0"/>
        <w:widowControl w:val="0"/>
        <w:kinsoku/>
        <w:wordWrap/>
        <w:overflowPunct/>
        <w:topLinePunct w:val="0"/>
        <w:autoSpaceDE/>
        <w:autoSpaceDN/>
        <w:bidi w:val="0"/>
        <w:snapToGrid/>
        <w:spacing w:line="560" w:lineRule="exact"/>
        <w:ind w:firstLine="640" w:firstLineChars="200"/>
        <w:textAlignment w:val="auto"/>
        <w:rPr>
          <w:rFonts w:hint="eastAsia"/>
          <w:color w:val="auto"/>
          <w:highlight w:val="none"/>
          <w:lang w:val="en-US" w:eastAsia="zh-CN"/>
        </w:rPr>
      </w:pPr>
      <w:r>
        <w:rPr>
          <w:rFonts w:hint="eastAsia"/>
          <w:color w:val="auto"/>
          <w:highlight w:val="none"/>
          <w:lang w:val="en-US" w:eastAsia="zh-CN"/>
        </w:rPr>
        <w:t>实验小学</w:t>
      </w:r>
      <w:r>
        <w:rPr>
          <w:rFonts w:hint="eastAsia"/>
          <w:color w:val="auto"/>
          <w:lang w:val="en-US" w:eastAsia="zh-CN"/>
        </w:rPr>
        <w:t>严格按照遂宁市河东新区国资金融局预决算信息公开要求，</w:t>
      </w:r>
      <w:r>
        <w:rPr>
          <w:rFonts w:hint="eastAsia"/>
          <w:color w:val="auto"/>
          <w:highlight w:val="none"/>
          <w:lang w:val="en-US" w:eastAsia="zh-CN"/>
        </w:rPr>
        <w:t>2021年预算编制说明和附件、2021年决算公开编制说明和附件已按规定公开于遂宁市河东新区政府信息公开网</w:t>
      </w:r>
      <w:r>
        <w:rPr>
          <w:rFonts w:hint="eastAsia"/>
          <w:color w:val="auto"/>
          <w:lang w:val="en-US" w:eastAsia="zh-CN"/>
        </w:rPr>
        <w:t>，信息真实、完整</w:t>
      </w:r>
      <w:r>
        <w:rPr>
          <w:rFonts w:hint="eastAsia"/>
          <w:color w:val="auto"/>
          <w:highlight w:val="none"/>
          <w:lang w:val="en-US" w:eastAsia="zh-CN"/>
        </w:rPr>
        <w:t>，符合信息公开相关法律法规规定。</w:t>
      </w:r>
    </w:p>
    <w:p w14:paraId="795399CA">
      <w:pPr>
        <w:pStyle w:val="5"/>
        <w:pageBreakBefore w:val="0"/>
        <w:widowControl w:val="0"/>
        <w:kinsoku/>
        <w:wordWrap/>
        <w:overflowPunct/>
        <w:topLinePunct w:val="0"/>
        <w:autoSpaceDE/>
        <w:autoSpaceDN/>
        <w:bidi w:val="0"/>
        <w:snapToGrid/>
        <w:spacing w:line="560" w:lineRule="exact"/>
        <w:ind w:left="-10" w:leftChars="0" w:firstLine="643" w:firstLineChars="200"/>
        <w:textAlignment w:val="auto"/>
        <w:rPr>
          <w:color w:val="auto"/>
        </w:rPr>
      </w:pPr>
      <w:bookmarkStart w:id="162" w:name="_Toc59985829"/>
      <w:bookmarkStart w:id="163" w:name="_Toc19172"/>
      <w:bookmarkStart w:id="164" w:name="_Toc13296"/>
      <w:bookmarkStart w:id="165" w:name="_Toc2782"/>
      <w:bookmarkStart w:id="166" w:name="_Toc328541087"/>
      <w:bookmarkStart w:id="167" w:name="_Toc12556"/>
      <w:bookmarkStart w:id="168" w:name="_Toc11295"/>
      <w:bookmarkStart w:id="169" w:name="_Toc4609"/>
      <w:r>
        <w:rPr>
          <w:rFonts w:hint="eastAsia"/>
          <w:color w:val="auto"/>
        </w:rPr>
        <w:t>财务管理</w:t>
      </w:r>
      <w:bookmarkEnd w:id="162"/>
      <w:bookmarkEnd w:id="163"/>
      <w:bookmarkEnd w:id="164"/>
      <w:bookmarkEnd w:id="165"/>
      <w:bookmarkEnd w:id="166"/>
      <w:bookmarkEnd w:id="167"/>
      <w:bookmarkEnd w:id="168"/>
      <w:bookmarkEnd w:id="169"/>
    </w:p>
    <w:p w14:paraId="51EDF373">
      <w:pPr>
        <w:pStyle w:val="4"/>
        <w:pageBreakBefore w:val="0"/>
        <w:widowControl w:val="0"/>
        <w:kinsoku/>
        <w:wordWrap/>
        <w:overflowPunct/>
        <w:topLinePunct w:val="0"/>
        <w:autoSpaceDE/>
        <w:autoSpaceDN/>
        <w:bidi w:val="0"/>
        <w:snapToGrid/>
        <w:spacing w:line="560" w:lineRule="exact"/>
        <w:ind w:firstLine="640" w:firstLineChars="200"/>
        <w:textAlignment w:val="auto"/>
        <w:rPr>
          <w:rFonts w:hint="eastAsia" w:eastAsia="仿宋_GB2312"/>
          <w:color w:val="auto"/>
          <w:lang w:val="en-US" w:eastAsia="zh-CN"/>
        </w:rPr>
      </w:pPr>
      <w:r>
        <w:rPr>
          <w:rFonts w:hint="eastAsia"/>
          <w:color w:val="auto"/>
          <w:lang w:val="en-US" w:eastAsia="zh-CN"/>
        </w:rPr>
        <w:t>在资金的使用和管理方面，实验小学</w:t>
      </w:r>
      <w:r>
        <w:rPr>
          <w:rFonts w:hint="eastAsia"/>
          <w:color w:val="auto"/>
          <w:highlight w:val="none"/>
          <w:lang w:val="en-US" w:eastAsia="zh-CN"/>
        </w:rPr>
        <w:t>依据《中华人民共和国会计法》等相关管理办法和文件，制定《收支业务管理制度》、《财务管理制度》、《经费报销管理制度》等相关财务制</w:t>
      </w:r>
      <w:r>
        <w:rPr>
          <w:rFonts w:hint="eastAsia"/>
          <w:color w:val="auto"/>
          <w:lang w:val="en-US" w:eastAsia="zh-CN"/>
        </w:rPr>
        <w:t>度，</w:t>
      </w:r>
      <w:r>
        <w:rPr>
          <w:color w:val="auto"/>
        </w:rPr>
        <w:t>对财务报销、</w:t>
      </w:r>
      <w:r>
        <w:rPr>
          <w:rFonts w:hint="eastAsia"/>
          <w:color w:val="auto"/>
          <w:lang w:val="en-US" w:eastAsia="zh-CN"/>
        </w:rPr>
        <w:t>差旅费</w:t>
      </w:r>
      <w:r>
        <w:rPr>
          <w:color w:val="auto"/>
        </w:rPr>
        <w:t>等各环节作了详细规定</w:t>
      </w:r>
      <w:r>
        <w:rPr>
          <w:rFonts w:hint="eastAsia"/>
          <w:color w:val="auto"/>
          <w:lang w:eastAsia="zh-CN"/>
        </w:rPr>
        <w:t>，</w:t>
      </w:r>
      <w:r>
        <w:rPr>
          <w:rFonts w:hint="eastAsia"/>
          <w:color w:val="auto"/>
          <w:lang w:val="en-US" w:eastAsia="zh-CN"/>
        </w:rPr>
        <w:t>财务管理制度规范、健全。评价组随机抽查“纳米智慧黑板”项目的</w:t>
      </w:r>
      <w:r>
        <w:rPr>
          <w:rFonts w:hint="eastAsia"/>
          <w:color w:val="auto"/>
        </w:rPr>
        <w:t>凭证</w:t>
      </w:r>
      <w:r>
        <w:rPr>
          <w:rFonts w:hint="eastAsia"/>
          <w:color w:val="auto"/>
          <w:lang w:eastAsia="zh-CN"/>
        </w:rPr>
        <w:t>，</w:t>
      </w:r>
      <w:r>
        <w:rPr>
          <w:rFonts w:hint="eastAsia"/>
          <w:color w:val="auto"/>
          <w:lang w:val="en-US" w:eastAsia="zh-CN"/>
        </w:rPr>
        <w:t>实验小学按照规定程序，</w:t>
      </w:r>
      <w:r>
        <w:rPr>
          <w:rFonts w:hint="eastAsia"/>
          <w:color w:val="auto"/>
        </w:rPr>
        <w:t>票据齐全</w:t>
      </w:r>
      <w:r>
        <w:rPr>
          <w:rFonts w:hint="eastAsia"/>
          <w:color w:val="auto"/>
          <w:lang w:eastAsia="zh-CN"/>
        </w:rPr>
        <w:t>，</w:t>
      </w:r>
      <w:r>
        <w:rPr>
          <w:rFonts w:hint="eastAsia"/>
          <w:color w:val="auto"/>
          <w:lang w:val="en-US" w:eastAsia="zh-CN"/>
        </w:rPr>
        <w:t>实行逐级审批后支付，</w:t>
      </w:r>
      <w:r>
        <w:rPr>
          <w:rFonts w:hint="eastAsia"/>
          <w:color w:val="auto"/>
        </w:rPr>
        <w:t>审批流程规范</w:t>
      </w:r>
      <w:r>
        <w:rPr>
          <w:rFonts w:hint="eastAsia"/>
          <w:color w:val="auto"/>
          <w:lang w:eastAsia="zh-CN"/>
        </w:rPr>
        <w:t>，</w:t>
      </w:r>
      <w:r>
        <w:rPr>
          <w:rFonts w:hint="eastAsia"/>
          <w:color w:val="auto"/>
          <w:lang w:val="en-US" w:eastAsia="zh-CN"/>
        </w:rPr>
        <w:t>符合管理制度的规定</w:t>
      </w:r>
      <w:r>
        <w:rPr>
          <w:rFonts w:hint="eastAsia"/>
          <w:color w:val="auto"/>
          <w:lang w:eastAsia="zh-CN"/>
        </w:rPr>
        <w:t>。</w:t>
      </w:r>
    </w:p>
    <w:p w14:paraId="685DA66A">
      <w:pPr>
        <w:pStyle w:val="5"/>
        <w:pageBreakBefore w:val="0"/>
        <w:widowControl w:val="0"/>
        <w:kinsoku/>
        <w:wordWrap/>
        <w:overflowPunct/>
        <w:topLinePunct w:val="0"/>
        <w:autoSpaceDE/>
        <w:autoSpaceDN/>
        <w:bidi w:val="0"/>
        <w:snapToGrid/>
        <w:spacing w:line="560" w:lineRule="exact"/>
        <w:ind w:left="-10" w:leftChars="0" w:firstLine="643" w:firstLineChars="200"/>
        <w:textAlignment w:val="auto"/>
        <w:rPr>
          <w:rFonts w:hint="eastAsia"/>
          <w:color w:val="auto"/>
          <w:highlight w:val="none"/>
          <w:lang w:val="en-US" w:eastAsia="zh-CN"/>
        </w:rPr>
      </w:pPr>
      <w:bookmarkStart w:id="170" w:name="_Toc1507"/>
      <w:bookmarkStart w:id="171" w:name="_Toc1926167080"/>
      <w:bookmarkStart w:id="172" w:name="_Toc59985832"/>
      <w:bookmarkStart w:id="173" w:name="_Toc26058"/>
      <w:bookmarkStart w:id="174" w:name="_Toc20867"/>
      <w:bookmarkStart w:id="175" w:name="_Toc32137"/>
      <w:bookmarkStart w:id="176" w:name="_Toc4218"/>
      <w:bookmarkStart w:id="177" w:name="_Toc30259"/>
      <w:r>
        <w:rPr>
          <w:rFonts w:hint="eastAsia"/>
          <w:color w:val="auto"/>
          <w:highlight w:val="none"/>
          <w:lang w:val="en-US" w:eastAsia="zh-Hans"/>
        </w:rPr>
        <w:t>政府采购</w:t>
      </w:r>
      <w:bookmarkEnd w:id="170"/>
      <w:bookmarkEnd w:id="171"/>
      <w:bookmarkEnd w:id="172"/>
      <w:bookmarkEnd w:id="173"/>
      <w:bookmarkEnd w:id="174"/>
      <w:bookmarkEnd w:id="175"/>
      <w:bookmarkEnd w:id="176"/>
      <w:bookmarkEnd w:id="177"/>
    </w:p>
    <w:p w14:paraId="260A196A">
      <w:pPr>
        <w:pStyle w:val="4"/>
        <w:pageBreakBefore w:val="0"/>
        <w:kinsoku/>
        <w:wordWrap/>
        <w:overflowPunct/>
        <w:topLinePunct w:val="0"/>
        <w:autoSpaceDE/>
        <w:autoSpaceDN/>
        <w:bidi w:val="0"/>
        <w:spacing w:line="560" w:lineRule="exact"/>
        <w:ind w:firstLine="640" w:firstLineChars="20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实验小学制定《采购业务管理制度》，形成了公平竞争、规范管理和社会监督的政府采购机制，2021年实验小学共有2个公开采购项目，采购实施程序规范，资料健全，其设立的政府采购程序规范，采购项目如下表3。</w:t>
      </w:r>
    </w:p>
    <w:p w14:paraId="3BDFDA1E">
      <w:pPr>
        <w:pStyle w:val="12"/>
        <w:keepNext w:val="0"/>
        <w:keepLines w:val="0"/>
        <w:pageBreakBefore w:val="0"/>
        <w:widowControl w:val="0"/>
        <w:kinsoku/>
        <w:wordWrap/>
        <w:overflowPunct/>
        <w:topLinePunct w:val="0"/>
        <w:autoSpaceDE/>
        <w:autoSpaceDN/>
        <w:bidi w:val="0"/>
        <w:adjustRightInd/>
        <w:snapToGrid w:val="0"/>
        <w:spacing w:before="60" w:after="60" w:line="560" w:lineRule="exact"/>
        <w:ind w:left="0" w:leftChars="0" w:right="0" w:rightChars="0" w:firstLine="482" w:firstLineChars="200"/>
        <w:jc w:val="center"/>
        <w:textAlignment w:val="auto"/>
        <w:outlineLvl w:val="9"/>
        <w:rPr>
          <w:rFonts w:hint="eastAsia"/>
          <w:b/>
          <w:bCs w:val="0"/>
          <w:color w:val="auto"/>
          <w:highlight w:val="none"/>
          <w:lang w:val="en-US" w:eastAsia="zh-CN"/>
        </w:rPr>
      </w:pPr>
      <w:r>
        <w:rPr>
          <w:rFonts w:hint="eastAsia"/>
          <w:b/>
          <w:bCs w:val="0"/>
          <w:color w:val="auto"/>
          <w:highlight w:val="none"/>
          <w:lang w:val="en-US" w:eastAsia="zh-CN"/>
        </w:rPr>
        <w:t>表3  2021年实验小学政府采购项目明细表</w:t>
      </w:r>
    </w:p>
    <w:p w14:paraId="337B99C2">
      <w:pPr>
        <w:pStyle w:val="12"/>
        <w:keepNext w:val="0"/>
        <w:keepLines w:val="0"/>
        <w:pageBreakBefore w:val="0"/>
        <w:widowControl w:val="0"/>
        <w:kinsoku/>
        <w:wordWrap/>
        <w:overflowPunct/>
        <w:topLinePunct w:val="0"/>
        <w:autoSpaceDE/>
        <w:autoSpaceDN/>
        <w:bidi w:val="0"/>
        <w:adjustRightInd/>
        <w:snapToGrid w:val="0"/>
        <w:spacing w:before="60" w:after="60" w:line="560" w:lineRule="exact"/>
        <w:ind w:left="0" w:leftChars="0" w:right="0" w:rightChars="0" w:firstLine="480" w:firstLineChars="200"/>
        <w:jc w:val="right"/>
        <w:textAlignment w:val="auto"/>
        <w:outlineLvl w:val="9"/>
        <w:rPr>
          <w:rFonts w:hint="default"/>
          <w:b w:val="0"/>
          <w:bCs/>
          <w:color w:val="auto"/>
          <w:highlight w:val="none"/>
          <w:lang w:val="en-US" w:eastAsia="zh-CN"/>
        </w:rPr>
      </w:pPr>
      <w:r>
        <w:rPr>
          <w:rFonts w:hint="eastAsia"/>
          <w:b w:val="0"/>
          <w:bCs/>
          <w:color w:val="auto"/>
          <w:highlight w:val="none"/>
          <w:lang w:val="en-US" w:eastAsia="zh-CN"/>
        </w:rPr>
        <w:t>单位：元</w:t>
      </w:r>
    </w:p>
    <w:tbl>
      <w:tblPr>
        <w:tblStyle w:val="10"/>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249"/>
        <w:gridCol w:w="1843"/>
        <w:gridCol w:w="2659"/>
        <w:gridCol w:w="2080"/>
      </w:tblGrid>
      <w:tr w14:paraId="7762B1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0738DA">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b/>
                <w:bCs/>
                <w:i w:val="0"/>
                <w:iCs w:val="0"/>
                <w:color w:val="000000"/>
                <w:kern w:val="0"/>
                <w:sz w:val="22"/>
                <w:szCs w:val="22"/>
                <w:highlight w:val="none"/>
                <w:u w:val="none"/>
                <w:lang w:val="en-US" w:eastAsia="zh-CN" w:bidi="ar"/>
              </w:rPr>
            </w:pPr>
            <w:r>
              <w:rPr>
                <w:rFonts w:hint="eastAsia" w:ascii="仿宋" w:hAnsi="仿宋" w:eastAsia="仿宋" w:cs="仿宋"/>
                <w:b/>
                <w:bCs/>
                <w:i w:val="0"/>
                <w:iCs w:val="0"/>
                <w:color w:val="000000"/>
                <w:kern w:val="0"/>
                <w:sz w:val="22"/>
                <w:szCs w:val="22"/>
                <w:highlight w:val="none"/>
                <w:u w:val="none"/>
                <w:lang w:val="en-US" w:eastAsia="zh-CN" w:bidi="ar"/>
              </w:rPr>
              <w:t>项目</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DC520C">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b/>
                <w:bCs/>
                <w:i w:val="0"/>
                <w:iCs w:val="0"/>
                <w:color w:val="000000"/>
                <w:kern w:val="0"/>
                <w:sz w:val="22"/>
                <w:szCs w:val="22"/>
                <w:highlight w:val="none"/>
                <w:u w:val="none"/>
                <w:lang w:val="en-US" w:eastAsia="zh-CN" w:bidi="ar"/>
              </w:rPr>
            </w:pPr>
            <w:r>
              <w:rPr>
                <w:rFonts w:hint="eastAsia" w:ascii="仿宋" w:hAnsi="仿宋" w:eastAsia="仿宋" w:cs="仿宋"/>
                <w:b/>
                <w:bCs/>
                <w:i w:val="0"/>
                <w:iCs w:val="0"/>
                <w:color w:val="000000"/>
                <w:kern w:val="0"/>
                <w:sz w:val="22"/>
                <w:szCs w:val="22"/>
                <w:highlight w:val="none"/>
                <w:u w:val="none"/>
                <w:lang w:val="en-US" w:eastAsia="zh-CN" w:bidi="ar"/>
              </w:rPr>
              <w:t>政府采购方式</w:t>
            </w:r>
          </w:p>
        </w:tc>
        <w:tc>
          <w:tcPr>
            <w:tcW w:w="15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8D321A">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b/>
                <w:bCs/>
                <w:i w:val="0"/>
                <w:iCs w:val="0"/>
                <w:color w:val="000000"/>
                <w:kern w:val="0"/>
                <w:sz w:val="22"/>
                <w:szCs w:val="22"/>
                <w:highlight w:val="none"/>
                <w:u w:val="none"/>
                <w:lang w:val="en-US" w:eastAsia="zh-CN" w:bidi="ar"/>
              </w:rPr>
            </w:pPr>
            <w:r>
              <w:rPr>
                <w:rFonts w:hint="eastAsia" w:ascii="仿宋" w:hAnsi="仿宋" w:eastAsia="仿宋" w:cs="仿宋"/>
                <w:b/>
                <w:bCs/>
                <w:i w:val="0"/>
                <w:iCs w:val="0"/>
                <w:color w:val="000000"/>
                <w:kern w:val="0"/>
                <w:sz w:val="22"/>
                <w:szCs w:val="22"/>
                <w:highlight w:val="none"/>
                <w:u w:val="none"/>
                <w:lang w:val="en-US" w:eastAsia="zh-CN" w:bidi="ar"/>
              </w:rPr>
              <w:t>中标单位</w:t>
            </w:r>
          </w:p>
        </w:tc>
        <w:tc>
          <w:tcPr>
            <w:tcW w:w="11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394E41">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b/>
                <w:bCs/>
                <w:i w:val="0"/>
                <w:iCs w:val="0"/>
                <w:color w:val="000000"/>
                <w:kern w:val="0"/>
                <w:sz w:val="22"/>
                <w:szCs w:val="22"/>
                <w:highlight w:val="none"/>
                <w:u w:val="none"/>
                <w:lang w:val="en-US" w:eastAsia="zh-CN" w:bidi="ar"/>
              </w:rPr>
            </w:pPr>
            <w:r>
              <w:rPr>
                <w:rFonts w:hint="eastAsia" w:ascii="仿宋" w:hAnsi="仿宋" w:eastAsia="仿宋" w:cs="仿宋"/>
                <w:b/>
                <w:bCs/>
                <w:i w:val="0"/>
                <w:iCs w:val="0"/>
                <w:color w:val="000000"/>
                <w:kern w:val="0"/>
                <w:sz w:val="22"/>
                <w:szCs w:val="22"/>
                <w:highlight w:val="none"/>
                <w:u w:val="none"/>
                <w:lang w:val="en-US" w:eastAsia="zh-CN" w:bidi="ar"/>
              </w:rPr>
              <w:t>中标金额</w:t>
            </w:r>
          </w:p>
        </w:tc>
      </w:tr>
      <w:tr w14:paraId="5071FC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946A47">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kern w:val="0"/>
                <w:sz w:val="22"/>
                <w:szCs w:val="22"/>
                <w:highlight w:val="none"/>
                <w:u w:val="none"/>
                <w:lang w:val="en-US" w:eastAsia="zh-CN" w:bidi="ar"/>
              </w:rPr>
            </w:pPr>
            <w:r>
              <w:rPr>
                <w:rFonts w:hint="eastAsia" w:ascii="仿宋" w:hAnsi="仿宋" w:eastAsia="仿宋" w:cs="仿宋"/>
                <w:i w:val="0"/>
                <w:iCs w:val="0"/>
                <w:color w:val="000000"/>
                <w:kern w:val="0"/>
                <w:sz w:val="22"/>
                <w:szCs w:val="22"/>
                <w:highlight w:val="none"/>
                <w:u w:val="none"/>
                <w:lang w:val="en-US" w:eastAsia="zh-CN" w:bidi="ar"/>
              </w:rPr>
              <w:t xml:space="preserve"> 学生课桌椅 </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2CF027">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kern w:val="0"/>
                <w:sz w:val="22"/>
                <w:szCs w:val="22"/>
                <w:highlight w:val="none"/>
                <w:u w:val="none"/>
                <w:lang w:val="en-US" w:eastAsia="zh-CN" w:bidi="ar"/>
              </w:rPr>
            </w:pPr>
            <w:r>
              <w:rPr>
                <w:rFonts w:hint="eastAsia" w:ascii="仿宋" w:hAnsi="仿宋" w:eastAsia="仿宋" w:cs="仿宋"/>
                <w:i w:val="0"/>
                <w:iCs w:val="0"/>
                <w:color w:val="000000"/>
                <w:kern w:val="0"/>
                <w:sz w:val="22"/>
                <w:szCs w:val="22"/>
                <w:highlight w:val="none"/>
                <w:u w:val="none"/>
                <w:lang w:val="en-US" w:eastAsia="zh-CN" w:bidi="ar"/>
              </w:rPr>
              <w:t>竞争性磋商</w:t>
            </w:r>
          </w:p>
        </w:tc>
        <w:tc>
          <w:tcPr>
            <w:tcW w:w="15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741B94">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000000"/>
                <w:kern w:val="0"/>
                <w:sz w:val="22"/>
                <w:szCs w:val="22"/>
                <w:highlight w:val="none"/>
                <w:u w:val="none"/>
                <w:lang w:val="en-US" w:eastAsia="zh-CN" w:bidi="ar"/>
              </w:rPr>
            </w:pPr>
            <w:r>
              <w:rPr>
                <w:rFonts w:hint="eastAsia" w:ascii="仿宋" w:hAnsi="仿宋" w:eastAsia="仿宋" w:cs="仿宋"/>
                <w:i w:val="0"/>
                <w:iCs w:val="0"/>
                <w:color w:val="000000"/>
                <w:kern w:val="0"/>
                <w:sz w:val="22"/>
                <w:szCs w:val="22"/>
                <w:highlight w:val="none"/>
                <w:u w:val="none"/>
                <w:lang w:val="en-US" w:eastAsia="zh-CN" w:bidi="ar"/>
              </w:rPr>
              <w:t>史泰博电子商务（成都）有限公司</w:t>
            </w:r>
          </w:p>
        </w:tc>
        <w:tc>
          <w:tcPr>
            <w:tcW w:w="11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E35862">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kern w:val="0"/>
                <w:sz w:val="22"/>
                <w:szCs w:val="22"/>
                <w:highlight w:val="none"/>
                <w:u w:val="none"/>
                <w:lang w:val="en-US" w:eastAsia="zh-CN" w:bidi="ar"/>
              </w:rPr>
            </w:pPr>
            <w:r>
              <w:rPr>
                <w:rFonts w:hint="eastAsia" w:ascii="仿宋" w:hAnsi="仿宋" w:eastAsia="仿宋" w:cs="仿宋"/>
                <w:i w:val="0"/>
                <w:iCs w:val="0"/>
                <w:color w:val="000000"/>
                <w:kern w:val="0"/>
                <w:sz w:val="22"/>
                <w:szCs w:val="22"/>
                <w:highlight w:val="none"/>
                <w:u w:val="none"/>
                <w:lang w:val="en-US" w:eastAsia="zh-CN" w:bidi="ar"/>
              </w:rPr>
              <w:t xml:space="preserve">135,000.00 </w:t>
            </w:r>
          </w:p>
        </w:tc>
      </w:tr>
      <w:tr w14:paraId="104353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135CC9">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kern w:val="0"/>
                <w:sz w:val="22"/>
                <w:szCs w:val="22"/>
                <w:highlight w:val="none"/>
                <w:u w:val="none"/>
                <w:lang w:val="en-US" w:eastAsia="zh-CN" w:bidi="ar"/>
              </w:rPr>
            </w:pPr>
            <w:r>
              <w:rPr>
                <w:rFonts w:hint="eastAsia" w:ascii="仿宋" w:hAnsi="仿宋" w:eastAsia="仿宋" w:cs="仿宋"/>
                <w:i w:val="0"/>
                <w:iCs w:val="0"/>
                <w:color w:val="000000"/>
                <w:kern w:val="0"/>
                <w:sz w:val="22"/>
                <w:szCs w:val="22"/>
                <w:highlight w:val="none"/>
                <w:u w:val="none"/>
                <w:lang w:val="en-US" w:eastAsia="zh-CN" w:bidi="ar"/>
              </w:rPr>
              <w:t xml:space="preserve"> 纳米智慧黑板 </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62A46B">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kern w:val="0"/>
                <w:sz w:val="22"/>
                <w:szCs w:val="22"/>
                <w:highlight w:val="none"/>
                <w:u w:val="none"/>
                <w:lang w:val="en-US" w:eastAsia="zh-CN" w:bidi="ar"/>
              </w:rPr>
            </w:pPr>
            <w:r>
              <w:rPr>
                <w:rFonts w:hint="eastAsia" w:ascii="仿宋" w:hAnsi="仿宋" w:eastAsia="仿宋" w:cs="仿宋"/>
                <w:i w:val="0"/>
                <w:iCs w:val="0"/>
                <w:color w:val="000000"/>
                <w:kern w:val="0"/>
                <w:sz w:val="22"/>
                <w:szCs w:val="22"/>
                <w:highlight w:val="none"/>
                <w:u w:val="none"/>
                <w:lang w:val="en-US" w:eastAsia="zh-CN" w:bidi="ar"/>
              </w:rPr>
              <w:t>竞争性磋商</w:t>
            </w:r>
          </w:p>
        </w:tc>
        <w:tc>
          <w:tcPr>
            <w:tcW w:w="15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B0167C">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000000"/>
                <w:kern w:val="0"/>
                <w:sz w:val="22"/>
                <w:szCs w:val="22"/>
                <w:highlight w:val="none"/>
                <w:u w:val="none"/>
                <w:lang w:val="en-US" w:eastAsia="zh-CN" w:bidi="ar"/>
              </w:rPr>
            </w:pPr>
            <w:r>
              <w:rPr>
                <w:rFonts w:hint="eastAsia" w:ascii="仿宋" w:hAnsi="仿宋" w:eastAsia="仿宋" w:cs="仿宋"/>
                <w:i w:val="0"/>
                <w:iCs w:val="0"/>
                <w:color w:val="000000"/>
                <w:kern w:val="0"/>
                <w:sz w:val="22"/>
                <w:szCs w:val="22"/>
                <w:highlight w:val="none"/>
                <w:u w:val="none"/>
                <w:lang w:val="en-US" w:eastAsia="zh-CN" w:bidi="ar"/>
              </w:rPr>
              <w:t>四川翔泰电子有限公司</w:t>
            </w:r>
          </w:p>
        </w:tc>
        <w:tc>
          <w:tcPr>
            <w:tcW w:w="11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83AF91">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kern w:val="0"/>
                <w:sz w:val="22"/>
                <w:szCs w:val="22"/>
                <w:highlight w:val="none"/>
                <w:u w:val="none"/>
                <w:lang w:val="en-US" w:eastAsia="zh-CN" w:bidi="ar"/>
              </w:rPr>
            </w:pPr>
            <w:r>
              <w:rPr>
                <w:rFonts w:hint="eastAsia" w:ascii="仿宋" w:hAnsi="仿宋" w:eastAsia="仿宋" w:cs="仿宋"/>
                <w:i w:val="0"/>
                <w:iCs w:val="0"/>
                <w:color w:val="000000"/>
                <w:kern w:val="0"/>
                <w:sz w:val="22"/>
                <w:szCs w:val="22"/>
                <w:highlight w:val="none"/>
                <w:u w:val="none"/>
                <w:lang w:val="en-US" w:eastAsia="zh-CN" w:bidi="ar"/>
              </w:rPr>
              <w:t xml:space="preserve">770,000.00 </w:t>
            </w:r>
          </w:p>
        </w:tc>
      </w:tr>
      <w:tr w14:paraId="302FC0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CDB433">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kern w:val="0"/>
                <w:sz w:val="22"/>
                <w:szCs w:val="22"/>
                <w:highlight w:val="none"/>
                <w:u w:val="none"/>
                <w:lang w:val="en-US" w:eastAsia="zh-CN" w:bidi="ar"/>
              </w:rPr>
            </w:pPr>
            <w:bookmarkStart w:id="178" w:name="_Toc8818"/>
            <w:bookmarkStart w:id="179" w:name="_Toc24572"/>
            <w:bookmarkStart w:id="180" w:name="_Toc20610"/>
            <w:bookmarkStart w:id="181" w:name="_Toc26766"/>
            <w:bookmarkStart w:id="182" w:name="_Toc10458"/>
            <w:r>
              <w:rPr>
                <w:rFonts w:hint="eastAsia" w:ascii="仿宋" w:hAnsi="仿宋" w:eastAsia="仿宋" w:cs="仿宋"/>
                <w:i w:val="0"/>
                <w:iCs w:val="0"/>
                <w:color w:val="000000"/>
                <w:kern w:val="0"/>
                <w:sz w:val="22"/>
                <w:szCs w:val="22"/>
                <w:highlight w:val="none"/>
                <w:u w:val="none"/>
                <w:lang w:val="en-US" w:eastAsia="zh-CN" w:bidi="ar"/>
              </w:rPr>
              <w:t>学校网络改造项目</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863102">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kern w:val="0"/>
                <w:sz w:val="22"/>
                <w:szCs w:val="22"/>
                <w:highlight w:val="none"/>
                <w:u w:val="none"/>
                <w:lang w:val="en-US" w:eastAsia="zh-CN" w:bidi="ar"/>
              </w:rPr>
            </w:pPr>
            <w:r>
              <w:rPr>
                <w:rFonts w:hint="eastAsia" w:ascii="仿宋" w:hAnsi="仿宋" w:eastAsia="仿宋" w:cs="仿宋"/>
                <w:i w:val="0"/>
                <w:iCs w:val="0"/>
                <w:color w:val="000000"/>
                <w:kern w:val="0"/>
                <w:sz w:val="22"/>
                <w:szCs w:val="22"/>
                <w:highlight w:val="none"/>
                <w:u w:val="none"/>
                <w:lang w:val="en-US" w:eastAsia="zh-CN" w:bidi="ar"/>
              </w:rPr>
              <w:t>竞争性磋商</w:t>
            </w:r>
          </w:p>
        </w:tc>
        <w:tc>
          <w:tcPr>
            <w:tcW w:w="15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88005F">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000000"/>
                <w:kern w:val="0"/>
                <w:sz w:val="22"/>
                <w:szCs w:val="22"/>
                <w:highlight w:val="none"/>
                <w:u w:val="none"/>
                <w:lang w:val="en-US" w:eastAsia="zh-CN" w:bidi="ar"/>
              </w:rPr>
            </w:pPr>
            <w:r>
              <w:rPr>
                <w:rFonts w:hint="eastAsia" w:ascii="仿宋" w:hAnsi="仿宋" w:eastAsia="仿宋" w:cs="仿宋"/>
                <w:i w:val="0"/>
                <w:iCs w:val="0"/>
                <w:color w:val="000000"/>
                <w:kern w:val="0"/>
                <w:sz w:val="22"/>
                <w:szCs w:val="22"/>
                <w:highlight w:val="none"/>
                <w:u w:val="none"/>
                <w:lang w:val="en-US" w:eastAsia="zh-CN" w:bidi="ar"/>
              </w:rPr>
              <w:t>遂宁市同搏网络科技有限公司</w:t>
            </w:r>
          </w:p>
        </w:tc>
        <w:tc>
          <w:tcPr>
            <w:tcW w:w="11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055AF0">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000000"/>
                <w:kern w:val="0"/>
                <w:sz w:val="22"/>
                <w:szCs w:val="22"/>
                <w:highlight w:val="none"/>
                <w:u w:val="none"/>
                <w:lang w:val="en-US" w:eastAsia="zh-CN" w:bidi="ar"/>
              </w:rPr>
            </w:pPr>
            <w:r>
              <w:rPr>
                <w:rFonts w:hint="eastAsia" w:ascii="仿宋" w:hAnsi="仿宋" w:eastAsia="仿宋" w:cs="仿宋"/>
                <w:i w:val="0"/>
                <w:iCs w:val="0"/>
                <w:color w:val="000000"/>
                <w:kern w:val="0"/>
                <w:sz w:val="22"/>
                <w:szCs w:val="22"/>
                <w:highlight w:val="none"/>
                <w:u w:val="none"/>
                <w:lang w:val="en-US" w:eastAsia="zh-CN" w:bidi="ar"/>
              </w:rPr>
              <w:t>397,800.00</w:t>
            </w:r>
          </w:p>
        </w:tc>
      </w:tr>
    </w:tbl>
    <w:p w14:paraId="18C22F7C">
      <w:pPr>
        <w:pStyle w:val="5"/>
        <w:pageBreakBefore w:val="0"/>
        <w:widowControl w:val="0"/>
        <w:kinsoku/>
        <w:wordWrap/>
        <w:overflowPunct/>
        <w:topLinePunct w:val="0"/>
        <w:autoSpaceDE/>
        <w:autoSpaceDN/>
        <w:bidi w:val="0"/>
        <w:snapToGrid/>
        <w:spacing w:line="560" w:lineRule="exact"/>
        <w:ind w:left="-10" w:leftChars="0" w:firstLine="643" w:firstLineChars="200"/>
        <w:textAlignment w:val="auto"/>
        <w:rPr>
          <w:rFonts w:hint="eastAsia"/>
          <w:color w:val="auto"/>
          <w:lang w:val="en-US" w:eastAsia="zh-CN"/>
        </w:rPr>
      </w:pPr>
      <w:r>
        <w:rPr>
          <w:rFonts w:hint="eastAsia"/>
          <w:color w:val="auto"/>
          <w:lang w:val="en-US" w:eastAsia="zh-CN"/>
        </w:rPr>
        <w:t>资产管理情况</w:t>
      </w:r>
      <w:bookmarkEnd w:id="178"/>
      <w:bookmarkEnd w:id="179"/>
      <w:bookmarkEnd w:id="180"/>
      <w:bookmarkEnd w:id="181"/>
      <w:bookmarkEnd w:id="182"/>
    </w:p>
    <w:p w14:paraId="002782CB">
      <w:pPr>
        <w:pStyle w:val="4"/>
        <w:pageBreakBefore w:val="0"/>
        <w:kinsoku/>
        <w:wordWrap/>
        <w:overflowPunct/>
        <w:topLinePunct w:val="0"/>
        <w:autoSpaceDE/>
        <w:autoSpaceDN/>
        <w:bidi w:val="0"/>
        <w:spacing w:line="560" w:lineRule="exact"/>
        <w:ind w:firstLine="640" w:firstLineChars="200"/>
        <w:textAlignment w:val="auto"/>
        <w:rPr>
          <w:rFonts w:hint="eastAsia"/>
          <w:color w:val="auto"/>
          <w:lang w:val="en-US" w:eastAsia="zh-CN"/>
        </w:rPr>
      </w:pPr>
      <w:r>
        <w:rPr>
          <w:rFonts w:hint="eastAsia"/>
          <w:color w:val="auto"/>
          <w:lang w:val="en-US" w:eastAsia="zh-CN"/>
        </w:rPr>
        <w:t>实验</w:t>
      </w:r>
      <w:r>
        <w:rPr>
          <w:rFonts w:hint="eastAsia"/>
          <w:color w:val="auto"/>
          <w:highlight w:val="none"/>
          <w:lang w:val="en-US" w:eastAsia="zh-CN"/>
        </w:rPr>
        <w:t>小学依据《行政单位财务规则》（财政部令〔2012〕第71号）等文件的规定，结合实验小学实际情况，制定《资产业务管理制度》，明确</w:t>
      </w:r>
      <w:r>
        <w:rPr>
          <w:rFonts w:hint="eastAsia"/>
          <w:color w:val="auto"/>
          <w:lang w:val="en-US" w:eastAsia="zh-CN"/>
        </w:rPr>
        <w:t>固定资产按照“资产管理与预算管理相结合、资产管理与财务管理相结合、实物管理与价值管理相结合”及“统一领导、分级管理、责任到人、合理配备、规范管理”的原则实施管理，对固定资产的固定资产范围、分类、计价、配置、使用、处置等流程也有明确规定。针对固定资产在用情况，评价组对实验小学2021年购置的通用设备如扫地机、防火门、空调等进行了抽查工作，抽查设备均处于在用状态，固定资产在用状态与实际一致。</w:t>
      </w:r>
    </w:p>
    <w:p w14:paraId="583F7EC9">
      <w:pPr>
        <w:pStyle w:val="3"/>
        <w:pageBreakBefore w:val="0"/>
        <w:kinsoku/>
        <w:wordWrap/>
        <w:overflowPunct/>
        <w:topLinePunct w:val="0"/>
        <w:autoSpaceDE/>
        <w:autoSpaceDN/>
        <w:bidi w:val="0"/>
        <w:snapToGrid w:val="0"/>
        <w:spacing w:line="560" w:lineRule="exact"/>
        <w:ind w:left="0" w:firstLine="640" w:firstLineChars="200"/>
        <w:rPr>
          <w:rFonts w:hint="eastAsia" w:ascii="Times New Roman" w:hAnsi="Times New Roman" w:eastAsia="黑体" w:cs="Times New Roman"/>
          <w:bCs/>
          <w:color w:val="auto"/>
          <w:kern w:val="44"/>
          <w:sz w:val="32"/>
          <w:szCs w:val="32"/>
          <w:lang w:val="zh-CN" w:eastAsia="zh-CN" w:bidi="ar-SA"/>
        </w:rPr>
      </w:pPr>
      <w:bookmarkStart w:id="183" w:name="_Toc5341"/>
      <w:bookmarkStart w:id="184" w:name="_Toc12020"/>
      <w:bookmarkStart w:id="185" w:name="_Toc10402"/>
      <w:bookmarkStart w:id="186" w:name="_Toc62481763"/>
      <w:bookmarkStart w:id="187" w:name="_Toc26561"/>
      <w:bookmarkStart w:id="188" w:name="_Toc23839"/>
      <w:bookmarkStart w:id="189" w:name="_Toc5588"/>
      <w:r>
        <w:rPr>
          <w:rFonts w:hint="eastAsia" w:ascii="Times New Roman" w:hAnsi="Times New Roman" w:eastAsia="黑体" w:cs="Times New Roman"/>
          <w:bCs/>
          <w:color w:val="auto"/>
          <w:kern w:val="44"/>
          <w:sz w:val="32"/>
          <w:szCs w:val="32"/>
          <w:lang w:val="zh-CN" w:eastAsia="zh-CN" w:bidi="ar-SA"/>
        </w:rPr>
        <w:t>部门</w:t>
      </w:r>
      <w:r>
        <w:rPr>
          <w:rFonts w:hint="eastAsia"/>
          <w:color w:val="auto"/>
          <w:szCs w:val="32"/>
          <w:lang w:val="en-US" w:eastAsia="zh-CN"/>
        </w:rPr>
        <w:t>重点</w:t>
      </w:r>
      <w:r>
        <w:rPr>
          <w:rFonts w:hint="eastAsia" w:ascii="Times New Roman" w:hAnsi="Times New Roman" w:eastAsia="黑体" w:cs="Times New Roman"/>
          <w:bCs/>
          <w:color w:val="auto"/>
          <w:kern w:val="44"/>
          <w:sz w:val="32"/>
          <w:szCs w:val="32"/>
          <w:lang w:val="zh-CN" w:eastAsia="zh-CN" w:bidi="ar-SA"/>
        </w:rPr>
        <w:t>履职效能</w:t>
      </w:r>
      <w:bookmarkEnd w:id="183"/>
      <w:bookmarkEnd w:id="184"/>
      <w:bookmarkEnd w:id="185"/>
      <w:bookmarkEnd w:id="186"/>
      <w:bookmarkEnd w:id="187"/>
      <w:bookmarkEnd w:id="188"/>
      <w:bookmarkEnd w:id="189"/>
    </w:p>
    <w:p w14:paraId="68F9B83C">
      <w:pPr>
        <w:pStyle w:val="5"/>
        <w:pageBreakBefore w:val="0"/>
        <w:widowControl w:val="0"/>
        <w:kinsoku/>
        <w:wordWrap/>
        <w:overflowPunct/>
        <w:topLinePunct w:val="0"/>
        <w:autoSpaceDE/>
        <w:autoSpaceDN/>
        <w:bidi w:val="0"/>
        <w:snapToGrid w:val="0"/>
        <w:spacing w:line="560" w:lineRule="exact"/>
        <w:ind w:firstLine="643" w:firstLineChars="200"/>
        <w:textAlignment w:val="auto"/>
        <w:rPr>
          <w:color w:val="auto"/>
        </w:rPr>
      </w:pPr>
      <w:bookmarkStart w:id="190" w:name="_Toc24363"/>
      <w:bookmarkStart w:id="191" w:name="_Toc62481764"/>
      <w:bookmarkStart w:id="192" w:name="_Toc7541"/>
      <w:bookmarkStart w:id="193" w:name="_Toc27011"/>
      <w:bookmarkStart w:id="194" w:name="_Toc32269"/>
      <w:bookmarkStart w:id="195" w:name="_Toc25949"/>
      <w:r>
        <w:rPr>
          <w:rFonts w:hint="eastAsia"/>
          <w:color w:val="auto"/>
        </w:rPr>
        <w:t>部门履职的年度总体目标</w:t>
      </w:r>
      <w:bookmarkEnd w:id="190"/>
      <w:bookmarkEnd w:id="191"/>
      <w:bookmarkEnd w:id="192"/>
      <w:bookmarkEnd w:id="193"/>
      <w:bookmarkEnd w:id="194"/>
      <w:bookmarkEnd w:id="195"/>
    </w:p>
    <w:p w14:paraId="6F8B0FFC">
      <w:pPr>
        <w:pStyle w:val="4"/>
        <w:pageBreakBefore w:val="0"/>
        <w:kinsoku/>
        <w:wordWrap/>
        <w:overflowPunct/>
        <w:topLinePunct w:val="0"/>
        <w:autoSpaceDE/>
        <w:autoSpaceDN/>
        <w:bidi w:val="0"/>
        <w:snapToGrid w:val="0"/>
        <w:spacing w:line="560" w:lineRule="exact"/>
        <w:ind w:firstLine="640" w:firstLineChars="200"/>
        <w:textAlignment w:val="auto"/>
        <w:rPr>
          <w:rFonts w:hint="default"/>
          <w:color w:val="auto"/>
          <w:lang w:val="en-US" w:eastAsia="zh-CN"/>
        </w:rPr>
      </w:pPr>
      <w:bookmarkStart w:id="196" w:name="_Toc62481765"/>
      <w:bookmarkStart w:id="197" w:name="_Toc62481766"/>
      <w:r>
        <w:rPr>
          <w:rFonts w:hint="eastAsia"/>
          <w:color w:val="auto"/>
          <w:lang w:val="en-US" w:eastAsia="zh-CN"/>
        </w:rPr>
        <w:t>2021年，实验小学</w:t>
      </w:r>
      <w:r>
        <w:rPr>
          <w:rFonts w:hint="default"/>
          <w:color w:val="auto"/>
          <w:lang w:val="en-US" w:eastAsia="zh-CN"/>
        </w:rPr>
        <w:t>按照市委、市政府总体部署和全省</w:t>
      </w:r>
      <w:r>
        <w:rPr>
          <w:rFonts w:hint="eastAsia"/>
          <w:color w:val="auto"/>
          <w:lang w:val="en-US" w:eastAsia="zh-CN"/>
        </w:rPr>
        <w:t>教育教学</w:t>
      </w:r>
      <w:r>
        <w:rPr>
          <w:rFonts w:hint="default"/>
          <w:color w:val="auto"/>
          <w:lang w:val="en-US" w:eastAsia="zh-CN"/>
        </w:rPr>
        <w:t>工作要求</w:t>
      </w:r>
      <w:r>
        <w:rPr>
          <w:rFonts w:hint="eastAsia"/>
          <w:color w:val="auto"/>
          <w:lang w:val="en-US" w:eastAsia="zh-CN"/>
        </w:rPr>
        <w:t>，以办高质量学校、做高质量教育为目标，持续贯彻党建引领学校各项工作的价值导向，完善学校管理体系，强化队伍，完善教师梯级成长培养机制。</w:t>
      </w:r>
    </w:p>
    <w:p w14:paraId="07D738DA">
      <w:pPr>
        <w:pStyle w:val="5"/>
        <w:pageBreakBefore w:val="0"/>
        <w:widowControl w:val="0"/>
        <w:kinsoku/>
        <w:wordWrap/>
        <w:overflowPunct/>
        <w:topLinePunct w:val="0"/>
        <w:autoSpaceDE/>
        <w:autoSpaceDN/>
        <w:bidi w:val="0"/>
        <w:snapToGrid w:val="0"/>
        <w:spacing w:line="560" w:lineRule="exact"/>
        <w:ind w:firstLine="643" w:firstLineChars="200"/>
        <w:textAlignment w:val="auto"/>
        <w:rPr>
          <w:color w:val="auto"/>
        </w:rPr>
      </w:pPr>
      <w:bookmarkStart w:id="198" w:name="_Toc8120"/>
      <w:bookmarkStart w:id="199" w:name="_Toc12570"/>
      <w:bookmarkStart w:id="200" w:name="_Toc2278"/>
      <w:bookmarkStart w:id="201" w:name="_Toc8639"/>
      <w:bookmarkStart w:id="202" w:name="_Toc2922"/>
      <w:r>
        <w:rPr>
          <w:rFonts w:hint="eastAsia"/>
          <w:color w:val="auto"/>
        </w:rPr>
        <w:t>重点工作任务绩效目标完成情况</w:t>
      </w:r>
      <w:bookmarkEnd w:id="196"/>
      <w:bookmarkEnd w:id="198"/>
      <w:bookmarkEnd w:id="199"/>
      <w:bookmarkEnd w:id="200"/>
      <w:bookmarkEnd w:id="201"/>
      <w:bookmarkEnd w:id="202"/>
    </w:p>
    <w:p w14:paraId="0A3BDFAE">
      <w:pPr>
        <w:pStyle w:val="6"/>
        <w:pageBreakBefore w:val="0"/>
        <w:numPr>
          <w:ilvl w:val="2"/>
          <w:numId w:val="0"/>
        </w:numPr>
        <w:kinsoku/>
        <w:wordWrap/>
        <w:overflowPunct/>
        <w:topLinePunct w:val="0"/>
        <w:autoSpaceDE/>
        <w:autoSpaceDN/>
        <w:bidi w:val="0"/>
        <w:adjustRightInd/>
        <w:snapToGrid w:val="0"/>
        <w:spacing w:line="560" w:lineRule="exact"/>
        <w:ind w:leftChars="0" w:firstLine="643" w:firstLineChars="200"/>
        <w:rPr>
          <w:rFonts w:hint="default"/>
          <w:b/>
          <w:bCs w:val="0"/>
          <w:color w:val="auto"/>
          <w:highlight w:val="none"/>
          <w:lang w:val="en-US" w:eastAsia="zh-CN"/>
        </w:rPr>
      </w:pPr>
      <w:bookmarkStart w:id="203" w:name="_Toc24057"/>
      <w:bookmarkStart w:id="204" w:name="_Toc28043"/>
      <w:bookmarkStart w:id="205" w:name="_Toc19732"/>
      <w:bookmarkStart w:id="206" w:name="_Toc1699"/>
      <w:bookmarkStart w:id="207" w:name="_Toc22520"/>
      <w:r>
        <w:rPr>
          <w:rFonts w:hint="eastAsia"/>
          <w:b/>
          <w:bCs w:val="0"/>
          <w:color w:val="auto"/>
          <w:highlight w:val="none"/>
          <w:lang w:val="en-US" w:eastAsia="zh-CN"/>
        </w:rPr>
        <w:t>1.完善学校管理体系</w:t>
      </w:r>
    </w:p>
    <w:p w14:paraId="1072AE77">
      <w:pPr>
        <w:pageBreakBefore w:val="0"/>
        <w:wordWrap/>
        <w:overflowPunct/>
        <w:topLinePunct w:val="0"/>
        <w:bidi w:val="0"/>
        <w:snapToGrid w:val="0"/>
        <w:spacing w:line="560" w:lineRule="exact"/>
        <w:ind w:firstLine="560"/>
        <w:rPr>
          <w:rFonts w:ascii="仿宋" w:hAnsi="仿宋" w:eastAsia="仿宋" w:cs="仿宋"/>
          <w:b/>
          <w:sz w:val="28"/>
          <w:szCs w:val="28"/>
        </w:rPr>
      </w:pPr>
      <w:r>
        <w:rPr>
          <w:rFonts w:hint="eastAsia" w:ascii="Times New Roman" w:hAnsi="Times New Roman" w:eastAsia="仿宋_GB2312" w:cs="Times New Roman"/>
          <w:color w:val="auto"/>
          <w:kern w:val="0"/>
          <w:sz w:val="32"/>
          <w:szCs w:val="28"/>
          <w:lang w:val="en-US" w:eastAsia="zh-CN" w:bidi="ar-SA"/>
        </w:rPr>
        <w:t xml:space="preserve">制定了学校五年发展规划，2021年度学校被评为“河东新区教育工作先进集体”；回应老师们对学校原有职称评定方案、教师晋级、课后服务考核管理中提出的问题，制定了《学校教坛新秀、骨干教师、校级名师选拔和管理办法》、《年级部考核细则》、《班级自主管理模式》等管理制度。   </w:t>
      </w:r>
      <w:r>
        <w:rPr>
          <w:rFonts w:hint="eastAsia" w:ascii="仿宋" w:hAnsi="仿宋" w:eastAsia="仿宋" w:cs="仿宋"/>
          <w:b/>
          <w:sz w:val="28"/>
          <w:szCs w:val="28"/>
        </w:rPr>
        <w:t xml:space="preserve">        </w:t>
      </w:r>
    </w:p>
    <w:p w14:paraId="3E011A55">
      <w:pPr>
        <w:pStyle w:val="6"/>
        <w:pageBreakBefore w:val="0"/>
        <w:numPr>
          <w:ilvl w:val="2"/>
          <w:numId w:val="0"/>
        </w:numPr>
        <w:kinsoku/>
        <w:wordWrap/>
        <w:overflowPunct/>
        <w:topLinePunct w:val="0"/>
        <w:autoSpaceDE/>
        <w:autoSpaceDN/>
        <w:bidi w:val="0"/>
        <w:adjustRightInd/>
        <w:spacing w:line="560" w:lineRule="exact"/>
        <w:ind w:leftChars="0" w:firstLine="643" w:firstLineChars="200"/>
        <w:rPr>
          <w:rFonts w:hint="eastAsia" w:eastAsia="仿宋" w:cstheme="minorBidi"/>
          <w:color w:val="auto"/>
          <w:kern w:val="2"/>
          <w:sz w:val="32"/>
          <w:szCs w:val="32"/>
          <w:highlight w:val="none"/>
          <w:lang w:val="en-US" w:eastAsia="zh-CN" w:bidi="ar-SA"/>
        </w:rPr>
      </w:pPr>
      <w:r>
        <w:rPr>
          <w:rFonts w:hint="eastAsia"/>
          <w:b/>
          <w:bCs w:val="0"/>
          <w:color w:val="auto"/>
          <w:highlight w:val="none"/>
          <w:lang w:val="en-US" w:eastAsia="zh-CN"/>
        </w:rPr>
        <w:t>2.做好党建工作</w:t>
      </w:r>
    </w:p>
    <w:p w14:paraId="080EE497">
      <w:pPr>
        <w:pStyle w:val="4"/>
        <w:pageBreakBefore w:val="0"/>
        <w:kinsoku/>
        <w:wordWrap/>
        <w:overflowPunct/>
        <w:topLinePunct w:val="0"/>
        <w:autoSpaceDE/>
        <w:autoSpaceDN/>
        <w:bidi w:val="0"/>
        <w:spacing w:line="560" w:lineRule="exact"/>
        <w:ind w:firstLine="640" w:firstLineChars="200"/>
        <w:textAlignment w:val="auto"/>
        <w:rPr>
          <w:rFonts w:hint="eastAsia"/>
          <w:color w:val="auto"/>
          <w:lang w:val="en-US" w:eastAsia="zh-CN"/>
        </w:rPr>
      </w:pPr>
      <w:r>
        <w:rPr>
          <w:rFonts w:hint="eastAsia"/>
          <w:color w:val="auto"/>
          <w:lang w:val="en-US" w:eastAsia="zh-CN"/>
        </w:rPr>
        <w:t>通过宣传阵地系统化、学史宣讲主题化、学史读书常态化、学史活动系列化的党史学习教育体系推动学校高质量发展，实现“红色润心，学史铸魂”的总体目标；学校党总支被评为河东新区“优秀基层党组织”；形成“步步生廉”的清廉校园建设体系，确定“廉洁办学”“廉洁从政”“廉洁从教”等不同层次的重要要求。</w:t>
      </w:r>
    </w:p>
    <w:p w14:paraId="5E64B647">
      <w:pPr>
        <w:pStyle w:val="6"/>
        <w:pageBreakBefore w:val="0"/>
        <w:numPr>
          <w:ilvl w:val="2"/>
          <w:numId w:val="0"/>
        </w:numPr>
        <w:kinsoku/>
        <w:wordWrap/>
        <w:overflowPunct/>
        <w:topLinePunct w:val="0"/>
        <w:autoSpaceDE/>
        <w:autoSpaceDN/>
        <w:bidi w:val="0"/>
        <w:adjustRightInd/>
        <w:spacing w:line="560" w:lineRule="exact"/>
        <w:ind w:leftChars="0" w:firstLine="643" w:firstLineChars="200"/>
        <w:rPr>
          <w:rFonts w:hint="default"/>
          <w:b/>
          <w:bCs w:val="0"/>
          <w:color w:val="auto"/>
          <w:highlight w:val="none"/>
          <w:lang w:val="en-US" w:eastAsia="zh-CN"/>
        </w:rPr>
      </w:pPr>
      <w:r>
        <w:rPr>
          <w:rFonts w:hint="eastAsia"/>
          <w:b/>
          <w:bCs w:val="0"/>
          <w:color w:val="auto"/>
          <w:highlight w:val="none"/>
          <w:lang w:val="en-US" w:eastAsia="zh-CN"/>
        </w:rPr>
        <w:t>3.强化队伍，完善教师梯级成长培养机制</w:t>
      </w:r>
    </w:p>
    <w:p w14:paraId="7BEF6911">
      <w:pPr>
        <w:pStyle w:val="4"/>
        <w:pageBreakBefore w:val="0"/>
        <w:kinsoku/>
        <w:wordWrap/>
        <w:overflowPunct/>
        <w:topLinePunct w:val="0"/>
        <w:autoSpaceDE/>
        <w:autoSpaceDN/>
        <w:bidi w:val="0"/>
        <w:spacing w:line="560" w:lineRule="exact"/>
        <w:ind w:firstLine="640" w:firstLineChars="20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加强学校干部队伍建设；高度重视教师专业发展，通过党建引领、团队建设、按需施训、名师带教、师徒结对等方式继续完善教师梯级成长培养机制；加强师德师风建设，明确师德师风责任目标，定期举行师德专题教育。</w:t>
      </w:r>
    </w:p>
    <w:p w14:paraId="5F85C336">
      <w:pPr>
        <w:pStyle w:val="6"/>
        <w:pageBreakBefore w:val="0"/>
        <w:numPr>
          <w:ilvl w:val="2"/>
          <w:numId w:val="0"/>
        </w:numPr>
        <w:kinsoku/>
        <w:wordWrap/>
        <w:overflowPunct/>
        <w:topLinePunct w:val="0"/>
        <w:autoSpaceDE/>
        <w:autoSpaceDN/>
        <w:bidi w:val="0"/>
        <w:adjustRightInd/>
        <w:spacing w:line="560" w:lineRule="exact"/>
        <w:ind w:leftChars="0" w:firstLine="643" w:firstLineChars="200"/>
        <w:rPr>
          <w:rFonts w:hint="default"/>
          <w:lang w:val="en-US" w:eastAsia="zh-CN"/>
        </w:rPr>
      </w:pPr>
      <w:r>
        <w:rPr>
          <w:rFonts w:hint="eastAsia"/>
          <w:b/>
          <w:bCs w:val="0"/>
          <w:color w:val="auto"/>
          <w:highlight w:val="none"/>
          <w:lang w:val="en-US" w:eastAsia="zh-CN"/>
        </w:rPr>
        <w:t>4.做好教育教学工作</w:t>
      </w:r>
    </w:p>
    <w:p w14:paraId="6D73507F">
      <w:pPr>
        <w:pStyle w:val="4"/>
        <w:pageBreakBefore w:val="0"/>
        <w:kinsoku/>
        <w:wordWrap/>
        <w:overflowPunct/>
        <w:topLinePunct w:val="0"/>
        <w:autoSpaceDE/>
        <w:autoSpaceDN/>
        <w:bidi w:val="0"/>
        <w:spacing w:line="560" w:lineRule="exact"/>
        <w:ind w:firstLine="640" w:firstLineChars="200"/>
        <w:textAlignment w:val="auto"/>
        <w:rPr>
          <w:rFonts w:hint="eastAsia"/>
          <w:color w:val="auto"/>
          <w:lang w:val="en-US" w:eastAsia="zh-CN"/>
        </w:rPr>
      </w:pPr>
      <w:bookmarkStart w:id="208" w:name="_Toc677"/>
      <w:r>
        <w:rPr>
          <w:rFonts w:hint="eastAsia"/>
          <w:color w:val="auto"/>
          <w:lang w:val="en-US" w:eastAsia="zh-CN"/>
        </w:rPr>
        <w:t>举办了青年教师智慧课堂展示活动，全面提升教师信息素养；落实了学生美育学科素养评价；以人工智能管理下的过程性评价+期末学科综合素质测评的方式，对一二年级语数学科开展测评，推动教育信息化双减政策落地生根。</w:t>
      </w:r>
    </w:p>
    <w:p w14:paraId="763D4EAA">
      <w:pPr>
        <w:pStyle w:val="3"/>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default" w:eastAsia="黑体"/>
          <w:color w:val="auto"/>
          <w:lang w:val="en-US" w:eastAsia="zh-CN"/>
        </w:rPr>
      </w:pPr>
      <w:r>
        <w:rPr>
          <w:rFonts w:hint="eastAsia"/>
          <w:color w:val="auto"/>
          <w:lang w:val="en-US" w:eastAsia="zh-CN"/>
        </w:rPr>
        <w:t>六、</w:t>
      </w:r>
      <w:r>
        <w:rPr>
          <w:rFonts w:hint="eastAsia"/>
          <w:color w:val="auto"/>
        </w:rPr>
        <w:t>评价结论</w:t>
      </w:r>
      <w:bookmarkEnd w:id="197"/>
      <w:bookmarkEnd w:id="203"/>
      <w:r>
        <w:rPr>
          <w:rFonts w:hint="eastAsia"/>
          <w:color w:val="auto"/>
          <w:lang w:val="en-US" w:eastAsia="zh-CN"/>
        </w:rPr>
        <w:t>及绩效分析</w:t>
      </w:r>
      <w:bookmarkEnd w:id="204"/>
      <w:bookmarkEnd w:id="205"/>
      <w:bookmarkEnd w:id="206"/>
      <w:bookmarkEnd w:id="207"/>
      <w:bookmarkEnd w:id="208"/>
    </w:p>
    <w:p w14:paraId="3FDE5072">
      <w:pPr>
        <w:pStyle w:val="5"/>
        <w:pageBreakBefore w:val="0"/>
        <w:widowControl w:val="0"/>
        <w:numPr>
          <w:ilvl w:val="1"/>
          <w:numId w:val="0"/>
        </w:numPr>
        <w:kinsoku/>
        <w:wordWrap/>
        <w:overflowPunct/>
        <w:topLinePunct w:val="0"/>
        <w:autoSpaceDE/>
        <w:autoSpaceDN/>
        <w:bidi w:val="0"/>
        <w:adjustRightInd w:val="0"/>
        <w:snapToGrid w:val="0"/>
        <w:spacing w:line="560" w:lineRule="exact"/>
        <w:ind w:leftChars="0" w:firstLine="643" w:firstLineChars="200"/>
        <w:textAlignment w:val="auto"/>
        <w:rPr>
          <w:rFonts w:hint="default" w:eastAsia="仿宋_GB2312"/>
          <w:color w:val="auto"/>
          <w:lang w:val="en-US" w:eastAsia="zh-CN"/>
        </w:rPr>
      </w:pPr>
      <w:bookmarkStart w:id="209" w:name="_Toc4289"/>
      <w:bookmarkStart w:id="210" w:name="_Toc32254"/>
      <w:bookmarkStart w:id="211" w:name="_Toc62481767"/>
      <w:bookmarkStart w:id="212" w:name="_Toc228"/>
      <w:bookmarkStart w:id="213" w:name="_Toc21884"/>
      <w:bookmarkStart w:id="214" w:name="_Toc24636"/>
      <w:r>
        <w:rPr>
          <w:rFonts w:hint="eastAsia"/>
          <w:color w:val="auto"/>
          <w:lang w:eastAsia="zh-CN"/>
        </w:rPr>
        <w:t>（</w:t>
      </w:r>
      <w:r>
        <w:rPr>
          <w:rFonts w:hint="eastAsia"/>
          <w:color w:val="auto"/>
          <w:lang w:val="en-US" w:eastAsia="zh-CN"/>
        </w:rPr>
        <w:t>一）</w:t>
      </w:r>
      <w:r>
        <w:rPr>
          <w:rFonts w:hint="eastAsia"/>
          <w:color w:val="auto"/>
        </w:rPr>
        <w:t>评价结论</w:t>
      </w:r>
      <w:bookmarkEnd w:id="209"/>
      <w:bookmarkEnd w:id="210"/>
      <w:bookmarkEnd w:id="211"/>
      <w:bookmarkEnd w:id="212"/>
      <w:bookmarkEnd w:id="213"/>
      <w:bookmarkEnd w:id="214"/>
    </w:p>
    <w:p w14:paraId="4E651ECC">
      <w:pPr>
        <w:pStyle w:val="7"/>
        <w:pageBreakBefore w:val="0"/>
        <w:kinsoku/>
        <w:wordWrap/>
        <w:overflowPunct/>
        <w:topLinePunct w:val="0"/>
        <w:autoSpaceDE/>
        <w:autoSpaceDN/>
        <w:bidi w:val="0"/>
        <w:adjustRightInd w:val="0"/>
        <w:snapToGrid w:val="0"/>
        <w:spacing w:line="560" w:lineRule="exact"/>
        <w:ind w:firstLine="640" w:firstLineChars="200"/>
        <w:rPr>
          <w:rFonts w:hint="eastAsia" w:ascii="Times New Roman" w:hAnsi="Times New Roman" w:eastAsia="仿宋_GB2312" w:cs="Times New Roman"/>
          <w:color w:val="auto"/>
          <w:kern w:val="0"/>
          <w:sz w:val="32"/>
          <w:szCs w:val="28"/>
          <w:lang w:val="zh-CN" w:eastAsia="zh-CN"/>
        </w:rPr>
      </w:pPr>
      <w:r>
        <w:rPr>
          <w:rFonts w:hint="eastAsia" w:ascii="Times New Roman" w:hAnsi="Times New Roman" w:eastAsia="仿宋_GB2312" w:cs="Times New Roman"/>
          <w:color w:val="auto"/>
          <w:kern w:val="0"/>
          <w:sz w:val="32"/>
          <w:szCs w:val="28"/>
          <w:lang w:val="zh-CN" w:eastAsia="zh-CN"/>
        </w:rPr>
        <w:t>20</w:t>
      </w:r>
      <w:r>
        <w:rPr>
          <w:rFonts w:hint="eastAsia" w:ascii="Times New Roman" w:hAnsi="Times New Roman" w:eastAsia="仿宋_GB2312" w:cs="Times New Roman"/>
          <w:color w:val="auto"/>
          <w:kern w:val="0"/>
          <w:sz w:val="32"/>
          <w:szCs w:val="28"/>
          <w:lang w:val="en-US" w:eastAsia="zh-CN"/>
        </w:rPr>
        <w:t>21</w:t>
      </w:r>
      <w:r>
        <w:rPr>
          <w:rFonts w:hint="eastAsia" w:ascii="Times New Roman" w:hAnsi="Times New Roman" w:eastAsia="仿宋_GB2312" w:cs="Times New Roman"/>
          <w:color w:val="auto"/>
          <w:kern w:val="0"/>
          <w:sz w:val="32"/>
          <w:szCs w:val="28"/>
          <w:lang w:val="zh-CN" w:eastAsia="zh-CN"/>
        </w:rPr>
        <w:t>年度遂宁市河东新区河东实验小学校部门整体支出绩效评价综合</w:t>
      </w:r>
      <w:r>
        <w:rPr>
          <w:rFonts w:hint="eastAsia" w:ascii="Times New Roman" w:hAnsi="Times New Roman" w:eastAsia="仿宋_GB2312" w:cs="Times New Roman"/>
          <w:color w:val="auto"/>
          <w:kern w:val="0"/>
          <w:sz w:val="32"/>
          <w:szCs w:val="28"/>
          <w:lang w:val="en-US" w:eastAsia="zh-CN"/>
        </w:rPr>
        <w:t>得分</w:t>
      </w:r>
      <w:r>
        <w:rPr>
          <w:rFonts w:hint="eastAsia" w:ascii="Times New Roman" w:hAnsi="Times New Roman" w:eastAsia="仿宋_GB2312" w:cs="Times New Roman"/>
          <w:color w:val="auto"/>
          <w:kern w:val="0"/>
          <w:sz w:val="32"/>
          <w:szCs w:val="28"/>
          <w:highlight w:val="none"/>
          <w:lang w:val="en-US" w:eastAsia="zh-CN"/>
        </w:rPr>
        <w:t>为79.99分，</w:t>
      </w:r>
      <w:r>
        <w:rPr>
          <w:rFonts w:hint="eastAsia" w:ascii="Times New Roman" w:hAnsi="Times New Roman" w:eastAsia="仿宋_GB2312" w:cs="Times New Roman"/>
          <w:color w:val="auto"/>
          <w:kern w:val="0"/>
          <w:sz w:val="32"/>
          <w:szCs w:val="28"/>
          <w:lang w:val="zh-CN" w:eastAsia="zh-CN"/>
        </w:rPr>
        <w:t>具体评分情况见附件</w:t>
      </w:r>
      <w:r>
        <w:rPr>
          <w:rFonts w:hint="eastAsia" w:ascii="Times New Roman" w:hAnsi="Times New Roman" w:eastAsia="仿宋_GB2312" w:cs="Times New Roman"/>
          <w:color w:val="auto"/>
          <w:kern w:val="0"/>
          <w:sz w:val="32"/>
          <w:szCs w:val="28"/>
          <w:lang w:val="en-US" w:eastAsia="zh-CN"/>
        </w:rPr>
        <w:t>1，</w:t>
      </w:r>
      <w:r>
        <w:rPr>
          <w:rFonts w:hint="eastAsia" w:ascii="Times New Roman" w:hAnsi="Times New Roman" w:eastAsia="仿宋_GB2312" w:cs="Times New Roman"/>
          <w:color w:val="auto"/>
          <w:kern w:val="0"/>
          <w:sz w:val="32"/>
          <w:szCs w:val="28"/>
          <w:lang w:val="zh-CN"/>
        </w:rPr>
        <w:t>指标评分得详见下表</w:t>
      </w:r>
      <w:r>
        <w:rPr>
          <w:rFonts w:hint="eastAsia" w:ascii="Times New Roman" w:hAnsi="Times New Roman" w:eastAsia="仿宋_GB2312" w:cs="Times New Roman"/>
          <w:color w:val="auto"/>
          <w:kern w:val="0"/>
          <w:sz w:val="32"/>
          <w:szCs w:val="28"/>
          <w:lang w:val="en-US" w:eastAsia="zh-CN"/>
        </w:rPr>
        <w:t>4</w:t>
      </w:r>
      <w:r>
        <w:rPr>
          <w:rFonts w:hint="eastAsia" w:ascii="Times New Roman" w:hAnsi="Times New Roman" w:eastAsia="仿宋_GB2312" w:cs="Times New Roman"/>
          <w:color w:val="auto"/>
          <w:kern w:val="0"/>
          <w:sz w:val="32"/>
          <w:szCs w:val="28"/>
          <w:lang w:val="zh-CN" w:eastAsia="zh-CN"/>
        </w:rPr>
        <w:t>。</w:t>
      </w:r>
    </w:p>
    <w:p w14:paraId="4040B601">
      <w:pPr>
        <w:pStyle w:val="16"/>
        <w:pageBreakBefore w:val="0"/>
        <w:kinsoku/>
        <w:wordWrap/>
        <w:overflowPunct/>
        <w:topLinePunct w:val="0"/>
        <w:autoSpaceDE/>
        <w:autoSpaceDN/>
        <w:bidi w:val="0"/>
        <w:adjustRightInd w:val="0"/>
        <w:snapToGrid w:val="0"/>
        <w:spacing w:line="560" w:lineRule="exact"/>
        <w:ind w:firstLine="482" w:firstLineChars="200"/>
        <w:textAlignment w:val="auto"/>
        <w:rPr>
          <w:color w:val="auto"/>
        </w:rPr>
      </w:pPr>
      <w:r>
        <w:rPr>
          <w:color w:val="auto"/>
        </w:rPr>
        <w:t>表</w:t>
      </w:r>
      <w:r>
        <w:rPr>
          <w:rFonts w:hint="eastAsia"/>
          <w:color w:val="auto"/>
          <w:lang w:val="en-US" w:eastAsia="zh-CN"/>
        </w:rPr>
        <w:t>4</w:t>
      </w:r>
      <w:r>
        <w:rPr>
          <w:rFonts w:hint="eastAsia"/>
          <w:color w:val="auto"/>
        </w:rPr>
        <w:t xml:space="preserve">  </w:t>
      </w:r>
      <w:r>
        <w:rPr>
          <w:color w:val="auto"/>
        </w:rPr>
        <w:t>20</w:t>
      </w:r>
      <w:r>
        <w:rPr>
          <w:rFonts w:hint="eastAsia"/>
          <w:color w:val="auto"/>
          <w:lang w:val="en-US" w:eastAsia="zh-CN"/>
        </w:rPr>
        <w:t>21</w:t>
      </w:r>
      <w:r>
        <w:rPr>
          <w:color w:val="auto"/>
        </w:rPr>
        <w:t>年</w:t>
      </w:r>
      <w:r>
        <w:rPr>
          <w:rFonts w:hint="eastAsia"/>
          <w:color w:val="auto"/>
          <w:lang w:val="en-US" w:eastAsia="zh-CN"/>
        </w:rPr>
        <w:t>遂宁市河东新区河东实验小学校部门</w:t>
      </w:r>
      <w:r>
        <w:rPr>
          <w:color w:val="auto"/>
        </w:rPr>
        <w:t>整体支出</w:t>
      </w:r>
      <w:r>
        <w:rPr>
          <w:rFonts w:hint="eastAsia"/>
          <w:color w:val="auto"/>
          <w:lang w:eastAsia="zh-CN"/>
        </w:rPr>
        <w:t>绩效评价得分</w:t>
      </w:r>
      <w:r>
        <w:rPr>
          <w:color w:val="auto"/>
        </w:rPr>
        <w:t>情况表</w:t>
      </w:r>
    </w:p>
    <w:tbl>
      <w:tblPr>
        <w:tblStyle w:val="10"/>
        <w:tblW w:w="4997" w:type="pct"/>
        <w:tblInd w:w="0" w:type="dxa"/>
        <w:shd w:val="clear" w:color="auto" w:fill="auto"/>
        <w:tblLayout w:type="autofit"/>
        <w:tblCellMar>
          <w:top w:w="0" w:type="dxa"/>
          <w:left w:w="108" w:type="dxa"/>
          <w:bottom w:w="0" w:type="dxa"/>
          <w:right w:w="108" w:type="dxa"/>
        </w:tblCellMar>
      </w:tblPr>
      <w:tblGrid>
        <w:gridCol w:w="1892"/>
        <w:gridCol w:w="1878"/>
        <w:gridCol w:w="1871"/>
        <w:gridCol w:w="952"/>
        <w:gridCol w:w="1119"/>
        <w:gridCol w:w="1119"/>
      </w:tblGrid>
      <w:tr w14:paraId="47FBF593">
        <w:tblPrEx>
          <w:shd w:val="clear" w:color="auto" w:fill="auto"/>
          <w:tblCellMar>
            <w:top w:w="0" w:type="dxa"/>
            <w:left w:w="108" w:type="dxa"/>
            <w:bottom w:w="0" w:type="dxa"/>
            <w:right w:w="108" w:type="dxa"/>
          </w:tblCellMar>
        </w:tblPrEx>
        <w:trPr>
          <w:trHeight w:val="441" w:hRule="atLeast"/>
        </w:trPr>
        <w:tc>
          <w:tcPr>
            <w:tcW w:w="3193"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3E52D6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bookmarkStart w:id="215" w:name="_Toc8508"/>
            <w:bookmarkStart w:id="216" w:name="_Toc5484"/>
            <w:bookmarkStart w:id="217" w:name="_Toc29909"/>
            <w:bookmarkStart w:id="218" w:name="_Toc12301"/>
            <w:bookmarkStart w:id="219" w:name="_Toc20804"/>
            <w:bookmarkStart w:id="220" w:name="_Toc8303"/>
            <w:r>
              <w:rPr>
                <w:rFonts w:hint="eastAsia" w:ascii="宋体" w:hAnsi="宋体" w:eastAsia="宋体" w:cs="宋体"/>
                <w:b/>
                <w:bCs/>
                <w:i w:val="0"/>
                <w:iCs w:val="0"/>
                <w:color w:val="000000"/>
                <w:kern w:val="0"/>
                <w:sz w:val="24"/>
                <w:szCs w:val="24"/>
                <w:u w:val="none"/>
                <w:lang w:val="en-US" w:eastAsia="zh-CN" w:bidi="ar"/>
              </w:rPr>
              <w:t>绩效指标</w:t>
            </w:r>
          </w:p>
        </w:tc>
        <w:tc>
          <w:tcPr>
            <w:tcW w:w="53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0AA86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指标分值</w:t>
            </w:r>
          </w:p>
        </w:tc>
        <w:tc>
          <w:tcPr>
            <w:tcW w:w="63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F60D14">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得分</w:t>
            </w:r>
          </w:p>
        </w:tc>
        <w:tc>
          <w:tcPr>
            <w:tcW w:w="633" w:type="pct"/>
            <w:vMerge w:val="restart"/>
            <w:tcBorders>
              <w:top w:val="single" w:color="000000" w:sz="4" w:space="0"/>
              <w:left w:val="single" w:color="000000" w:sz="4" w:space="0"/>
              <w:right w:val="single" w:color="000000" w:sz="4" w:space="0"/>
            </w:tcBorders>
            <w:shd w:val="clear" w:color="auto" w:fill="auto"/>
            <w:vAlign w:val="center"/>
          </w:tcPr>
          <w:p w14:paraId="3ED530CA">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扣分</w:t>
            </w:r>
          </w:p>
        </w:tc>
      </w:tr>
      <w:tr w14:paraId="06D64C64">
        <w:tblPrEx>
          <w:tblCellMar>
            <w:top w:w="0" w:type="dxa"/>
            <w:left w:w="108" w:type="dxa"/>
            <w:bottom w:w="0" w:type="dxa"/>
            <w:right w:w="108" w:type="dxa"/>
          </w:tblCellMar>
        </w:tblPrEx>
        <w:trPr>
          <w:trHeight w:val="345" w:hRule="atLeast"/>
        </w:trPr>
        <w:tc>
          <w:tcPr>
            <w:tcW w:w="10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22FCF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一级指标</w:t>
            </w:r>
          </w:p>
        </w:tc>
        <w:tc>
          <w:tcPr>
            <w:tcW w:w="10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1EFDE2">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二级指标</w:t>
            </w:r>
          </w:p>
        </w:tc>
        <w:tc>
          <w:tcPr>
            <w:tcW w:w="1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BEB67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三级指标</w:t>
            </w:r>
          </w:p>
        </w:tc>
        <w:tc>
          <w:tcPr>
            <w:tcW w:w="5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3567F8">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63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0EC48E">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633" w:type="pct"/>
            <w:vMerge w:val="continue"/>
            <w:tcBorders>
              <w:left w:val="single" w:color="000000" w:sz="4" w:space="0"/>
              <w:bottom w:val="single" w:color="000000" w:sz="4" w:space="0"/>
              <w:right w:val="single" w:color="000000" w:sz="4" w:space="0"/>
            </w:tcBorders>
            <w:shd w:val="clear" w:color="auto" w:fill="auto"/>
            <w:vAlign w:val="center"/>
          </w:tcPr>
          <w:p w14:paraId="0990C303">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r>
      <w:tr w14:paraId="14F6FF73">
        <w:tblPrEx>
          <w:tblCellMar>
            <w:top w:w="0" w:type="dxa"/>
            <w:left w:w="108" w:type="dxa"/>
            <w:bottom w:w="0" w:type="dxa"/>
            <w:right w:w="108" w:type="dxa"/>
          </w:tblCellMar>
        </w:tblPrEx>
        <w:trPr>
          <w:trHeight w:val="507" w:hRule="atLeast"/>
        </w:trPr>
        <w:tc>
          <w:tcPr>
            <w:tcW w:w="10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EBD92E">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部门预算管理</w:t>
            </w:r>
          </w:p>
        </w:tc>
        <w:tc>
          <w:tcPr>
            <w:tcW w:w="106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C184D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预算编制</w:t>
            </w:r>
          </w:p>
        </w:tc>
        <w:tc>
          <w:tcPr>
            <w:tcW w:w="1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7E3B7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目标制定</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CBDD36">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BDE98D">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AC14FD">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0</w:t>
            </w:r>
          </w:p>
        </w:tc>
      </w:tr>
      <w:tr w14:paraId="4988A154">
        <w:tblPrEx>
          <w:tblCellMar>
            <w:top w:w="0" w:type="dxa"/>
            <w:left w:w="108" w:type="dxa"/>
            <w:bottom w:w="0" w:type="dxa"/>
            <w:right w:w="108" w:type="dxa"/>
          </w:tblCellMar>
        </w:tblPrEx>
        <w:trPr>
          <w:trHeight w:val="458" w:hRule="atLeast"/>
        </w:trPr>
        <w:tc>
          <w:tcPr>
            <w:tcW w:w="10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1CF526">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6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8737E7">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A18CC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目标实现</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F7C730">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6447F7">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B0BBA7">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z w:val="24"/>
                <w:szCs w:val="24"/>
                <w:u w:val="none"/>
                <w:lang w:val="en-US" w:eastAsia="zh-CN"/>
              </w:rPr>
              <w:t>0</w:t>
            </w:r>
          </w:p>
        </w:tc>
      </w:tr>
      <w:tr w14:paraId="129A734E">
        <w:tblPrEx>
          <w:tblCellMar>
            <w:top w:w="0" w:type="dxa"/>
            <w:left w:w="108" w:type="dxa"/>
            <w:bottom w:w="0" w:type="dxa"/>
            <w:right w:w="108" w:type="dxa"/>
          </w:tblCellMar>
        </w:tblPrEx>
        <w:trPr>
          <w:trHeight w:val="466" w:hRule="atLeast"/>
        </w:trPr>
        <w:tc>
          <w:tcPr>
            <w:tcW w:w="10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A2206F">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6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EC4453">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C3C72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编制准确</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53CFA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E3925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74BB19">
            <w:pPr>
              <w:pageBreakBefore w:val="0"/>
              <w:wordWrap/>
              <w:overflowPunct/>
              <w:topLinePunct w:val="0"/>
              <w:bidi w:val="0"/>
              <w:spacing w:line="560" w:lineRule="exact"/>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10</w:t>
            </w:r>
          </w:p>
        </w:tc>
      </w:tr>
      <w:tr w14:paraId="6FA4667D">
        <w:tblPrEx>
          <w:tblCellMar>
            <w:top w:w="0" w:type="dxa"/>
            <w:left w:w="108" w:type="dxa"/>
            <w:bottom w:w="0" w:type="dxa"/>
            <w:right w:w="108" w:type="dxa"/>
          </w:tblCellMar>
        </w:tblPrEx>
        <w:trPr>
          <w:trHeight w:val="394" w:hRule="atLeast"/>
        </w:trPr>
        <w:tc>
          <w:tcPr>
            <w:tcW w:w="10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9AF95A">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6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49CCF0">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预算执行</w:t>
            </w:r>
          </w:p>
        </w:tc>
        <w:tc>
          <w:tcPr>
            <w:tcW w:w="1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406012">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支出控制</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3E337B">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D4C16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C11FC6">
            <w:pPr>
              <w:pageBreakBefore w:val="0"/>
              <w:wordWrap/>
              <w:overflowPunct/>
              <w:topLinePunct w:val="0"/>
              <w:bidi w:val="0"/>
              <w:spacing w:line="560" w:lineRule="exact"/>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10</w:t>
            </w:r>
          </w:p>
        </w:tc>
      </w:tr>
      <w:tr w14:paraId="5FC86080">
        <w:tblPrEx>
          <w:tblCellMar>
            <w:top w:w="0" w:type="dxa"/>
            <w:left w:w="108" w:type="dxa"/>
            <w:bottom w:w="0" w:type="dxa"/>
            <w:right w:w="108" w:type="dxa"/>
          </w:tblCellMar>
        </w:tblPrEx>
        <w:trPr>
          <w:trHeight w:val="462" w:hRule="atLeast"/>
        </w:trPr>
        <w:tc>
          <w:tcPr>
            <w:tcW w:w="10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3E5C73">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6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DDF727">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15F8F2">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动态调整</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696EC1">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AACED6">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8A62E4">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z w:val="24"/>
                <w:szCs w:val="24"/>
                <w:u w:val="none"/>
                <w:lang w:val="en-US" w:eastAsia="zh-CN"/>
              </w:rPr>
              <w:t>0</w:t>
            </w:r>
          </w:p>
        </w:tc>
      </w:tr>
      <w:tr w14:paraId="7FAF24D2">
        <w:tblPrEx>
          <w:tblCellMar>
            <w:top w:w="0" w:type="dxa"/>
            <w:left w:w="108" w:type="dxa"/>
            <w:bottom w:w="0" w:type="dxa"/>
            <w:right w:w="108" w:type="dxa"/>
          </w:tblCellMar>
        </w:tblPrEx>
        <w:trPr>
          <w:trHeight w:val="445" w:hRule="atLeast"/>
        </w:trPr>
        <w:tc>
          <w:tcPr>
            <w:tcW w:w="10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F6D7C4">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63" w:type="pct"/>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59840741">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59" w:type="pct"/>
            <w:tcBorders>
              <w:top w:val="single" w:color="000000" w:sz="4" w:space="0"/>
              <w:left w:val="single" w:color="000000" w:sz="4" w:space="0"/>
              <w:bottom w:val="single" w:color="auto" w:sz="4" w:space="0"/>
              <w:right w:val="single" w:color="000000" w:sz="4" w:space="0"/>
            </w:tcBorders>
            <w:shd w:val="clear" w:color="auto" w:fill="auto"/>
            <w:vAlign w:val="center"/>
          </w:tcPr>
          <w:p w14:paraId="0E1B4CD8">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执行进度</w:t>
            </w:r>
          </w:p>
        </w:tc>
        <w:tc>
          <w:tcPr>
            <w:tcW w:w="539" w:type="pct"/>
            <w:tcBorders>
              <w:top w:val="single" w:color="000000" w:sz="4" w:space="0"/>
              <w:left w:val="single" w:color="000000" w:sz="4" w:space="0"/>
              <w:bottom w:val="single" w:color="auto" w:sz="4" w:space="0"/>
              <w:right w:val="single" w:color="000000" w:sz="4" w:space="0"/>
            </w:tcBorders>
            <w:shd w:val="clear" w:color="auto" w:fill="auto"/>
            <w:vAlign w:val="center"/>
          </w:tcPr>
          <w:p w14:paraId="4C7D8B00">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000000" w:sz="4" w:space="0"/>
              <w:left w:val="single" w:color="000000" w:sz="4" w:space="0"/>
              <w:bottom w:val="single" w:color="auto" w:sz="4" w:space="0"/>
              <w:right w:val="single" w:color="000000" w:sz="4" w:space="0"/>
            </w:tcBorders>
            <w:shd w:val="clear" w:color="auto" w:fill="auto"/>
            <w:vAlign w:val="center"/>
          </w:tcPr>
          <w:p w14:paraId="501F5EBB">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000000" w:sz="4" w:space="0"/>
              <w:left w:val="single" w:color="000000" w:sz="4" w:space="0"/>
              <w:bottom w:val="single" w:color="auto" w:sz="4" w:space="0"/>
              <w:right w:val="single" w:color="000000" w:sz="4" w:space="0"/>
            </w:tcBorders>
            <w:shd w:val="clear" w:color="auto" w:fill="auto"/>
            <w:vAlign w:val="center"/>
          </w:tcPr>
          <w:p w14:paraId="7E2CF95A">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z w:val="24"/>
                <w:szCs w:val="24"/>
                <w:u w:val="none"/>
                <w:lang w:val="en-US" w:eastAsia="zh-CN"/>
              </w:rPr>
              <w:t>0</w:t>
            </w:r>
          </w:p>
        </w:tc>
      </w:tr>
      <w:tr w14:paraId="5573488B">
        <w:tblPrEx>
          <w:tblCellMar>
            <w:top w:w="0" w:type="dxa"/>
            <w:left w:w="108" w:type="dxa"/>
            <w:bottom w:w="0" w:type="dxa"/>
            <w:right w:w="108" w:type="dxa"/>
          </w:tblCellMar>
        </w:tblPrEx>
        <w:trPr>
          <w:trHeight w:val="463" w:hRule="atLeast"/>
        </w:trPr>
        <w:tc>
          <w:tcPr>
            <w:tcW w:w="107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01EAF408">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6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B66C4EE">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完成结果</w:t>
            </w:r>
          </w:p>
        </w:tc>
        <w:tc>
          <w:tcPr>
            <w:tcW w:w="1059" w:type="pct"/>
            <w:tcBorders>
              <w:top w:val="single" w:color="auto" w:sz="4" w:space="0"/>
              <w:left w:val="single" w:color="auto" w:sz="4" w:space="0"/>
              <w:bottom w:val="single" w:color="auto" w:sz="4" w:space="0"/>
              <w:right w:val="single" w:color="auto" w:sz="4" w:space="0"/>
            </w:tcBorders>
            <w:shd w:val="clear" w:color="auto" w:fill="auto"/>
            <w:vAlign w:val="center"/>
          </w:tcPr>
          <w:p w14:paraId="76EB6EA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预算完成</w:t>
            </w:r>
          </w:p>
        </w:tc>
        <w:tc>
          <w:tcPr>
            <w:tcW w:w="539" w:type="pct"/>
            <w:tcBorders>
              <w:top w:val="single" w:color="auto" w:sz="4" w:space="0"/>
              <w:left w:val="single" w:color="auto" w:sz="4" w:space="0"/>
              <w:bottom w:val="single" w:color="auto" w:sz="4" w:space="0"/>
              <w:right w:val="single" w:color="auto" w:sz="4" w:space="0"/>
            </w:tcBorders>
            <w:shd w:val="clear" w:color="auto" w:fill="auto"/>
            <w:vAlign w:val="center"/>
          </w:tcPr>
          <w:p w14:paraId="0D4E3E00">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6C0B25FF">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9.99</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74DB5796">
            <w:pPr>
              <w:pageBreakBefore w:val="0"/>
              <w:wordWrap/>
              <w:overflowPunct/>
              <w:topLinePunct w:val="0"/>
              <w:bidi w:val="0"/>
              <w:spacing w:line="560" w:lineRule="exact"/>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0.01</w:t>
            </w:r>
          </w:p>
        </w:tc>
      </w:tr>
      <w:tr w14:paraId="00A274A6">
        <w:tblPrEx>
          <w:tblCellMar>
            <w:top w:w="0" w:type="dxa"/>
            <w:left w:w="108" w:type="dxa"/>
            <w:bottom w:w="0" w:type="dxa"/>
            <w:right w:w="108" w:type="dxa"/>
          </w:tblCellMar>
        </w:tblPrEx>
        <w:trPr>
          <w:trHeight w:val="453" w:hRule="atLeast"/>
        </w:trPr>
        <w:tc>
          <w:tcPr>
            <w:tcW w:w="107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21E84488">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6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4866160">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59" w:type="pct"/>
            <w:tcBorders>
              <w:top w:val="single" w:color="auto" w:sz="4" w:space="0"/>
              <w:left w:val="single" w:color="auto" w:sz="4" w:space="0"/>
              <w:bottom w:val="single" w:color="auto" w:sz="4" w:space="0"/>
              <w:right w:val="single" w:color="auto" w:sz="4" w:space="0"/>
            </w:tcBorders>
            <w:shd w:val="clear" w:color="auto" w:fill="auto"/>
            <w:vAlign w:val="center"/>
          </w:tcPr>
          <w:p w14:paraId="12A83292">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违规记录</w:t>
            </w:r>
          </w:p>
        </w:tc>
        <w:tc>
          <w:tcPr>
            <w:tcW w:w="539" w:type="pct"/>
            <w:tcBorders>
              <w:top w:val="single" w:color="auto" w:sz="4" w:space="0"/>
              <w:left w:val="single" w:color="auto" w:sz="4" w:space="0"/>
              <w:bottom w:val="single" w:color="auto" w:sz="4" w:space="0"/>
              <w:right w:val="single" w:color="auto" w:sz="4" w:space="0"/>
            </w:tcBorders>
            <w:shd w:val="clear" w:color="auto" w:fill="auto"/>
            <w:vAlign w:val="center"/>
          </w:tcPr>
          <w:p w14:paraId="60C6B3FE">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10C7C76B">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35518A77">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z w:val="24"/>
                <w:szCs w:val="24"/>
                <w:u w:val="none"/>
                <w:lang w:val="en-US" w:eastAsia="zh-CN"/>
              </w:rPr>
              <w:t>0</w:t>
            </w:r>
          </w:p>
        </w:tc>
      </w:tr>
      <w:tr w14:paraId="11E6EDE2">
        <w:tblPrEx>
          <w:tblCellMar>
            <w:top w:w="0" w:type="dxa"/>
            <w:left w:w="108" w:type="dxa"/>
            <w:bottom w:w="0" w:type="dxa"/>
            <w:right w:w="108" w:type="dxa"/>
          </w:tblCellMar>
        </w:tblPrEx>
        <w:trPr>
          <w:trHeight w:val="444" w:hRule="atLeast"/>
        </w:trPr>
        <w:tc>
          <w:tcPr>
            <w:tcW w:w="1071" w:type="pct"/>
            <w:vMerge w:val="restart"/>
            <w:tcBorders>
              <w:top w:val="single" w:color="000000" w:sz="4" w:space="0"/>
              <w:left w:val="single" w:color="000000" w:sz="4" w:space="0"/>
              <w:bottom w:val="single" w:color="000000" w:sz="4" w:space="0"/>
              <w:right w:val="single" w:color="auto" w:sz="4" w:space="0"/>
            </w:tcBorders>
            <w:shd w:val="clear" w:color="auto" w:fill="auto"/>
            <w:vAlign w:val="center"/>
          </w:tcPr>
          <w:p w14:paraId="4F6AE5F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绩效结果应用</w:t>
            </w:r>
          </w:p>
        </w:tc>
        <w:tc>
          <w:tcPr>
            <w:tcW w:w="1063" w:type="pct"/>
            <w:tcBorders>
              <w:top w:val="single" w:color="auto" w:sz="4" w:space="0"/>
              <w:left w:val="single" w:color="auto" w:sz="4" w:space="0"/>
              <w:bottom w:val="single" w:color="auto" w:sz="4" w:space="0"/>
              <w:right w:val="single" w:color="auto" w:sz="4" w:space="0"/>
            </w:tcBorders>
            <w:shd w:val="clear" w:color="auto" w:fill="auto"/>
            <w:vAlign w:val="center"/>
          </w:tcPr>
          <w:p w14:paraId="31404754">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信息公开</w:t>
            </w:r>
          </w:p>
        </w:tc>
        <w:tc>
          <w:tcPr>
            <w:tcW w:w="1059" w:type="pct"/>
            <w:tcBorders>
              <w:top w:val="single" w:color="auto" w:sz="4" w:space="0"/>
              <w:left w:val="single" w:color="auto" w:sz="4" w:space="0"/>
              <w:bottom w:val="single" w:color="auto" w:sz="4" w:space="0"/>
              <w:right w:val="single" w:color="auto" w:sz="4" w:space="0"/>
            </w:tcBorders>
            <w:shd w:val="clear" w:color="auto" w:fill="auto"/>
            <w:vAlign w:val="center"/>
          </w:tcPr>
          <w:p w14:paraId="03E5BF92">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自评公开</w:t>
            </w:r>
          </w:p>
        </w:tc>
        <w:tc>
          <w:tcPr>
            <w:tcW w:w="539" w:type="pct"/>
            <w:tcBorders>
              <w:top w:val="single" w:color="auto" w:sz="4" w:space="0"/>
              <w:left w:val="single" w:color="auto" w:sz="4" w:space="0"/>
              <w:bottom w:val="single" w:color="auto" w:sz="4" w:space="0"/>
              <w:right w:val="single" w:color="auto" w:sz="4" w:space="0"/>
            </w:tcBorders>
            <w:shd w:val="clear" w:color="auto" w:fill="auto"/>
            <w:vAlign w:val="center"/>
          </w:tcPr>
          <w:p w14:paraId="1C77967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7DC6262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67E75C61">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z w:val="24"/>
                <w:szCs w:val="24"/>
                <w:u w:val="none"/>
                <w:lang w:val="en-US" w:eastAsia="zh-CN"/>
              </w:rPr>
              <w:t>0</w:t>
            </w:r>
          </w:p>
        </w:tc>
      </w:tr>
      <w:tr w14:paraId="50F7B358">
        <w:tblPrEx>
          <w:tblCellMar>
            <w:top w:w="0" w:type="dxa"/>
            <w:left w:w="108" w:type="dxa"/>
            <w:bottom w:w="0" w:type="dxa"/>
            <w:right w:w="108" w:type="dxa"/>
          </w:tblCellMar>
        </w:tblPrEx>
        <w:trPr>
          <w:trHeight w:val="451" w:hRule="atLeast"/>
        </w:trPr>
        <w:tc>
          <w:tcPr>
            <w:tcW w:w="107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4356F451">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6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B37A4A">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整改反馈</w:t>
            </w:r>
          </w:p>
        </w:tc>
        <w:tc>
          <w:tcPr>
            <w:tcW w:w="1059" w:type="pct"/>
            <w:tcBorders>
              <w:top w:val="single" w:color="auto" w:sz="4" w:space="0"/>
              <w:left w:val="single" w:color="auto" w:sz="4" w:space="0"/>
              <w:bottom w:val="single" w:color="auto" w:sz="4" w:space="0"/>
              <w:right w:val="single" w:color="auto" w:sz="4" w:space="0"/>
            </w:tcBorders>
            <w:shd w:val="clear" w:color="auto" w:fill="auto"/>
            <w:vAlign w:val="center"/>
          </w:tcPr>
          <w:p w14:paraId="469F654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结果整改</w:t>
            </w:r>
          </w:p>
        </w:tc>
        <w:tc>
          <w:tcPr>
            <w:tcW w:w="539" w:type="pct"/>
            <w:tcBorders>
              <w:top w:val="single" w:color="auto" w:sz="4" w:space="0"/>
              <w:left w:val="single" w:color="auto" w:sz="4" w:space="0"/>
              <w:bottom w:val="single" w:color="auto" w:sz="4" w:space="0"/>
              <w:right w:val="single" w:color="auto" w:sz="4" w:space="0"/>
            </w:tcBorders>
            <w:shd w:val="clear" w:color="auto" w:fill="auto"/>
            <w:vAlign w:val="center"/>
          </w:tcPr>
          <w:p w14:paraId="6C7F9F9E">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3F3404D8">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3F0F59FD">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z w:val="24"/>
                <w:szCs w:val="24"/>
                <w:u w:val="none"/>
                <w:lang w:val="en-US" w:eastAsia="zh-CN"/>
              </w:rPr>
              <w:t>0</w:t>
            </w:r>
          </w:p>
        </w:tc>
      </w:tr>
      <w:tr w14:paraId="021B2909">
        <w:tblPrEx>
          <w:tblCellMar>
            <w:top w:w="0" w:type="dxa"/>
            <w:left w:w="108" w:type="dxa"/>
            <w:bottom w:w="0" w:type="dxa"/>
            <w:right w:w="108" w:type="dxa"/>
          </w:tblCellMar>
        </w:tblPrEx>
        <w:trPr>
          <w:trHeight w:val="414" w:hRule="atLeast"/>
        </w:trPr>
        <w:tc>
          <w:tcPr>
            <w:tcW w:w="107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7E8B5329">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6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AFA76DA">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59" w:type="pct"/>
            <w:tcBorders>
              <w:top w:val="single" w:color="auto" w:sz="4" w:space="0"/>
              <w:left w:val="single" w:color="auto" w:sz="4" w:space="0"/>
              <w:bottom w:val="single" w:color="auto" w:sz="4" w:space="0"/>
              <w:right w:val="single" w:color="auto" w:sz="4" w:space="0"/>
            </w:tcBorders>
            <w:shd w:val="clear" w:color="auto" w:fill="auto"/>
            <w:vAlign w:val="center"/>
          </w:tcPr>
          <w:p w14:paraId="128F7AE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应用反馈</w:t>
            </w:r>
          </w:p>
        </w:tc>
        <w:tc>
          <w:tcPr>
            <w:tcW w:w="539" w:type="pct"/>
            <w:tcBorders>
              <w:top w:val="single" w:color="auto" w:sz="4" w:space="0"/>
              <w:left w:val="single" w:color="auto" w:sz="4" w:space="0"/>
              <w:bottom w:val="single" w:color="auto" w:sz="4" w:space="0"/>
              <w:right w:val="single" w:color="auto" w:sz="4" w:space="0"/>
            </w:tcBorders>
            <w:shd w:val="clear" w:color="auto" w:fill="auto"/>
            <w:vAlign w:val="center"/>
          </w:tcPr>
          <w:p w14:paraId="0C3ED7A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7247D12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2A219216">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z w:val="24"/>
                <w:szCs w:val="24"/>
                <w:u w:val="none"/>
                <w:lang w:val="en-US" w:eastAsia="zh-CN"/>
              </w:rPr>
              <w:t>0</w:t>
            </w:r>
          </w:p>
        </w:tc>
      </w:tr>
      <w:tr w14:paraId="433B331E">
        <w:tblPrEx>
          <w:tblCellMar>
            <w:top w:w="0" w:type="dxa"/>
            <w:left w:w="108" w:type="dxa"/>
            <w:bottom w:w="0" w:type="dxa"/>
            <w:right w:w="108" w:type="dxa"/>
          </w:tblCellMar>
        </w:tblPrEx>
        <w:trPr>
          <w:trHeight w:val="510" w:hRule="atLeast"/>
        </w:trPr>
        <w:tc>
          <w:tcPr>
            <w:tcW w:w="1071" w:type="pct"/>
            <w:tcBorders>
              <w:top w:val="single" w:color="000000" w:sz="4" w:space="0"/>
              <w:left w:val="single" w:color="000000" w:sz="4" w:space="0"/>
              <w:bottom w:val="single" w:color="000000" w:sz="4" w:space="0"/>
              <w:right w:val="single" w:color="auto" w:sz="4" w:space="0"/>
            </w:tcBorders>
            <w:shd w:val="clear" w:color="auto" w:fill="auto"/>
            <w:vAlign w:val="center"/>
          </w:tcPr>
          <w:p w14:paraId="685F8A4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自评质量</w:t>
            </w:r>
          </w:p>
        </w:tc>
        <w:tc>
          <w:tcPr>
            <w:tcW w:w="1063" w:type="pct"/>
            <w:tcBorders>
              <w:top w:val="single" w:color="auto" w:sz="4" w:space="0"/>
              <w:left w:val="single" w:color="auto" w:sz="4" w:space="0"/>
              <w:bottom w:val="single" w:color="auto" w:sz="4" w:space="0"/>
              <w:right w:val="single" w:color="auto" w:sz="4" w:space="0"/>
            </w:tcBorders>
            <w:shd w:val="clear" w:color="auto" w:fill="auto"/>
            <w:vAlign w:val="center"/>
          </w:tcPr>
          <w:p w14:paraId="4F0FC03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自评质量</w:t>
            </w:r>
          </w:p>
        </w:tc>
        <w:tc>
          <w:tcPr>
            <w:tcW w:w="1059" w:type="pct"/>
            <w:tcBorders>
              <w:top w:val="single" w:color="auto" w:sz="4" w:space="0"/>
              <w:left w:val="single" w:color="auto" w:sz="4" w:space="0"/>
              <w:bottom w:val="single" w:color="auto" w:sz="4" w:space="0"/>
              <w:right w:val="single" w:color="auto" w:sz="4" w:space="0"/>
            </w:tcBorders>
            <w:shd w:val="clear" w:color="auto" w:fill="auto"/>
            <w:vAlign w:val="center"/>
          </w:tcPr>
          <w:p w14:paraId="772CB3E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自评准确</w:t>
            </w:r>
          </w:p>
        </w:tc>
        <w:tc>
          <w:tcPr>
            <w:tcW w:w="539" w:type="pct"/>
            <w:tcBorders>
              <w:top w:val="single" w:color="auto" w:sz="4" w:space="0"/>
              <w:left w:val="single" w:color="auto" w:sz="4" w:space="0"/>
              <w:bottom w:val="single" w:color="auto" w:sz="4" w:space="0"/>
              <w:right w:val="single" w:color="auto" w:sz="4" w:space="0"/>
            </w:tcBorders>
            <w:shd w:val="clear" w:color="auto" w:fill="auto"/>
            <w:vAlign w:val="center"/>
          </w:tcPr>
          <w:p w14:paraId="00C63698">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2D7E5ED2">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23B5DF61">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0</w:t>
            </w:r>
          </w:p>
        </w:tc>
      </w:tr>
      <w:tr w14:paraId="56D9F9DF">
        <w:tblPrEx>
          <w:tblCellMar>
            <w:top w:w="0" w:type="dxa"/>
            <w:left w:w="108" w:type="dxa"/>
            <w:bottom w:w="0" w:type="dxa"/>
            <w:right w:w="108" w:type="dxa"/>
          </w:tblCellMar>
        </w:tblPrEx>
        <w:trPr>
          <w:trHeight w:val="510" w:hRule="atLeast"/>
        </w:trPr>
        <w:tc>
          <w:tcPr>
            <w:tcW w:w="3193"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10908467">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合计</w:t>
            </w:r>
          </w:p>
        </w:tc>
        <w:tc>
          <w:tcPr>
            <w:tcW w:w="539" w:type="pct"/>
            <w:tcBorders>
              <w:top w:val="single" w:color="auto" w:sz="4" w:space="0"/>
              <w:left w:val="single" w:color="auto" w:sz="4" w:space="0"/>
              <w:bottom w:val="single" w:color="auto" w:sz="4" w:space="0"/>
              <w:right w:val="single" w:color="auto" w:sz="4" w:space="0"/>
            </w:tcBorders>
            <w:shd w:val="clear" w:color="auto" w:fill="auto"/>
            <w:vAlign w:val="center"/>
          </w:tcPr>
          <w:p w14:paraId="430161EE">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100</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66148288">
            <w:pPr>
              <w:pageBreakBefore w:val="0"/>
              <w:wordWrap/>
              <w:overflowPunct/>
              <w:topLinePunct w:val="0"/>
              <w:bidi w:val="0"/>
              <w:spacing w:line="560" w:lineRule="exact"/>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79.99</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32B5E876">
            <w:pPr>
              <w:pageBreakBefore w:val="0"/>
              <w:wordWrap/>
              <w:overflowPunct/>
              <w:topLinePunct w:val="0"/>
              <w:bidi w:val="0"/>
              <w:spacing w:line="560" w:lineRule="exact"/>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20.01</w:t>
            </w:r>
          </w:p>
        </w:tc>
      </w:tr>
    </w:tbl>
    <w:p w14:paraId="6B1EAE32">
      <w:pPr>
        <w:pStyle w:val="5"/>
        <w:pageBreakBefore w:val="0"/>
        <w:numPr>
          <w:ilvl w:val="1"/>
          <w:numId w:val="0"/>
        </w:numPr>
        <w:kinsoku/>
        <w:wordWrap/>
        <w:overflowPunct/>
        <w:topLinePunct w:val="0"/>
        <w:autoSpaceDE/>
        <w:autoSpaceDN/>
        <w:bidi w:val="0"/>
        <w:spacing w:line="560" w:lineRule="exact"/>
        <w:ind w:leftChars="0" w:firstLine="643" w:firstLineChars="200"/>
        <w:rPr>
          <w:rFonts w:hint="eastAsia"/>
          <w:b/>
          <w:bCs/>
          <w:color w:val="auto"/>
          <w:szCs w:val="32"/>
          <w:lang w:val="en-US" w:eastAsia="zh-CN"/>
        </w:rPr>
      </w:pPr>
      <w:bookmarkStart w:id="221" w:name="_Toc5109"/>
      <w:r>
        <w:rPr>
          <w:rFonts w:hint="eastAsia"/>
          <w:b/>
          <w:bCs/>
          <w:color w:val="auto"/>
          <w:szCs w:val="32"/>
          <w:lang w:val="en-US" w:eastAsia="zh-CN"/>
        </w:rPr>
        <w:t>（二）基本运行绩效</w:t>
      </w:r>
      <w:bookmarkEnd w:id="215"/>
      <w:bookmarkEnd w:id="216"/>
      <w:r>
        <w:rPr>
          <w:rFonts w:hint="eastAsia"/>
          <w:b/>
          <w:bCs/>
          <w:color w:val="auto"/>
          <w:szCs w:val="32"/>
          <w:lang w:val="en-US" w:eastAsia="zh-CN"/>
        </w:rPr>
        <w:t>分析</w:t>
      </w:r>
      <w:bookmarkEnd w:id="217"/>
      <w:bookmarkEnd w:id="218"/>
      <w:bookmarkEnd w:id="219"/>
      <w:bookmarkEnd w:id="220"/>
      <w:bookmarkEnd w:id="221"/>
    </w:p>
    <w:p w14:paraId="5334EC2A">
      <w:pPr>
        <w:pStyle w:val="4"/>
        <w:pageBreakBefore w:val="0"/>
        <w:widowControl w:val="0"/>
        <w:numPr>
          <w:ilvl w:val="-1"/>
          <w:numId w:val="0"/>
        </w:numPr>
        <w:kinsoku/>
        <w:wordWrap/>
        <w:overflowPunct/>
        <w:topLinePunct w:val="0"/>
        <w:autoSpaceDE/>
        <w:autoSpaceDN/>
        <w:bidi w:val="0"/>
        <w:spacing w:line="560" w:lineRule="exact"/>
        <w:ind w:left="0" w:leftChars="0" w:firstLine="643" w:firstLineChars="200"/>
        <w:textAlignment w:val="auto"/>
        <w:outlineLvl w:val="2"/>
        <w:rPr>
          <w:rFonts w:hint="eastAsia" w:ascii="仿宋" w:hAnsi="仿宋" w:eastAsia="仿宋" w:cs="仿宋"/>
          <w:b/>
          <w:color w:val="auto"/>
          <w:kern w:val="2"/>
          <w:sz w:val="32"/>
          <w:szCs w:val="32"/>
          <w:lang w:val="en-US" w:eastAsia="zh-CN" w:bidi="ar-SA"/>
        </w:rPr>
      </w:pPr>
      <w:bookmarkStart w:id="222" w:name="_Toc19913"/>
      <w:bookmarkStart w:id="223" w:name="_Toc11779"/>
      <w:bookmarkStart w:id="224" w:name="_Toc18745"/>
      <w:r>
        <w:rPr>
          <w:rFonts w:hint="eastAsia" w:ascii="仿宋" w:hAnsi="仿宋" w:eastAsia="仿宋" w:cs="仿宋"/>
          <w:b/>
          <w:color w:val="auto"/>
          <w:kern w:val="2"/>
          <w:sz w:val="32"/>
          <w:szCs w:val="32"/>
          <w:lang w:val="en-US" w:eastAsia="zh-CN" w:bidi="ar-SA"/>
        </w:rPr>
        <w:t>1.部门预算</w:t>
      </w:r>
      <w:bookmarkEnd w:id="222"/>
      <w:r>
        <w:rPr>
          <w:rFonts w:hint="eastAsia" w:ascii="仿宋" w:hAnsi="仿宋" w:eastAsia="仿宋" w:cs="仿宋"/>
          <w:b/>
          <w:color w:val="auto"/>
          <w:kern w:val="2"/>
          <w:sz w:val="32"/>
          <w:szCs w:val="32"/>
          <w:lang w:val="en-US" w:eastAsia="zh-CN" w:bidi="ar-SA"/>
        </w:rPr>
        <w:t>编制</w:t>
      </w:r>
    </w:p>
    <w:p w14:paraId="270A8437">
      <w:pPr>
        <w:pStyle w:val="4"/>
        <w:pageBreakBefore w:val="0"/>
        <w:widowControl w:val="0"/>
        <w:numPr>
          <w:ilvl w:val="-1"/>
          <w:numId w:val="0"/>
        </w:numPr>
        <w:kinsoku/>
        <w:wordWrap/>
        <w:overflowPunct/>
        <w:topLinePunct w:val="0"/>
        <w:autoSpaceDE/>
        <w:autoSpaceDN/>
        <w:bidi w:val="0"/>
        <w:spacing w:line="560" w:lineRule="exact"/>
        <w:ind w:left="0" w:leftChars="0" w:firstLine="643" w:firstLineChars="200"/>
        <w:textAlignment w:val="auto"/>
        <w:outlineLvl w:val="2"/>
        <w:rPr>
          <w:rFonts w:hint="default"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（1）预算编制</w:t>
      </w:r>
    </w:p>
    <w:bookmarkEnd w:id="223"/>
    <w:bookmarkEnd w:id="224"/>
    <w:p w14:paraId="467EA4EA">
      <w:pPr>
        <w:pStyle w:val="4"/>
        <w:pageBreakBefore w:val="0"/>
        <w:widowControl w:val="0"/>
        <w:numPr>
          <w:ilvl w:val="0"/>
          <w:numId w:val="0"/>
        </w:numPr>
        <w:kinsoku/>
        <w:wordWrap/>
        <w:overflowPunct/>
        <w:topLinePunct w:val="0"/>
        <w:autoSpaceDE/>
        <w:autoSpaceDN/>
        <w:bidi w:val="0"/>
        <w:spacing w:line="560" w:lineRule="exact"/>
        <w:ind w:firstLine="643" w:firstLineChars="200"/>
        <w:textAlignment w:val="auto"/>
        <w:outlineLvl w:val="9"/>
        <w:rPr>
          <w:rFonts w:hint="default"/>
          <w:color w:val="auto"/>
          <w:highlight w:val="none"/>
          <w:lang w:val="en-US" w:eastAsia="zh-CN"/>
        </w:rPr>
      </w:pPr>
      <w:bookmarkStart w:id="225" w:name="_Toc7111"/>
      <w:bookmarkStart w:id="226" w:name="_Toc8860"/>
      <w:r>
        <w:rPr>
          <w:rFonts w:hint="eastAsia"/>
          <w:b/>
          <w:bCs/>
          <w:color w:val="auto"/>
          <w:szCs w:val="32"/>
          <w:highlight w:val="none"/>
          <w:lang w:val="en-US" w:eastAsia="zh-CN"/>
        </w:rPr>
        <w:t>①</w:t>
      </w:r>
      <w:bookmarkEnd w:id="225"/>
      <w:bookmarkEnd w:id="226"/>
      <w:r>
        <w:rPr>
          <w:rFonts w:hint="eastAsia"/>
          <w:b/>
          <w:bCs/>
          <w:color w:val="auto"/>
          <w:szCs w:val="32"/>
          <w:highlight w:val="none"/>
          <w:lang w:val="en-US" w:eastAsia="zh-CN"/>
        </w:rPr>
        <w:t>目标制定</w:t>
      </w:r>
    </w:p>
    <w:p w14:paraId="550EFEEE">
      <w:pPr>
        <w:pStyle w:val="4"/>
        <w:pageBreakBefore w:val="0"/>
        <w:wordWrap/>
        <w:overflowPunct/>
        <w:topLinePunct w:val="0"/>
        <w:bidi w:val="0"/>
        <w:spacing w:line="560" w:lineRule="exact"/>
        <w:rPr>
          <w:rFonts w:hint="eastAsia"/>
          <w:color w:val="000000" w:themeColor="text1"/>
          <w:highlight w:val="none"/>
          <w:lang w:val="en-US"/>
          <w14:textFill>
            <w14:solidFill>
              <w14:schemeClr w14:val="tx1"/>
            </w14:solidFill>
          </w14:textFill>
        </w:rPr>
      </w:pPr>
      <w:bookmarkStart w:id="227" w:name="_Toc21302"/>
      <w:bookmarkStart w:id="228" w:name="_Toc28907"/>
      <w:r>
        <w:rPr>
          <w:rFonts w:hint="eastAsia"/>
          <w:highlight w:val="none"/>
          <w:lang w:val="en-US" w:eastAsia="zh-CN"/>
        </w:rPr>
        <w:t>实验小学</w:t>
      </w:r>
      <w:r>
        <w:rPr>
          <w:rFonts w:hint="eastAsia"/>
          <w:highlight w:val="none"/>
        </w:rPr>
        <w:t>整体绩效目标年度主要任务包括</w:t>
      </w:r>
      <w:r>
        <w:rPr>
          <w:rFonts w:hint="eastAsia"/>
          <w:color w:val="000000" w:themeColor="text1"/>
          <w:highlight w:val="none"/>
          <w:lang w:eastAsia="zh-CN"/>
          <w14:textFill>
            <w14:solidFill>
              <w14:schemeClr w14:val="tx1"/>
            </w14:solidFill>
          </w14:textFill>
        </w:rPr>
        <w:t>学校基本运行保障、学校后勤保障</w:t>
      </w:r>
      <w:r>
        <w:rPr>
          <w:rFonts w:hint="eastAsia"/>
          <w:color w:val="000000" w:themeColor="text1"/>
          <w:highlight w:val="none"/>
          <w:lang w:eastAsia="zh-CN"/>
          <w14:textFill>
            <w14:solidFill>
              <w14:schemeClr w14:val="tx1"/>
            </w14:solidFill>
          </w14:textFill>
        </w:rPr>
        <w:tab/>
      </w:r>
      <w:r>
        <w:rPr>
          <w:rFonts w:hint="eastAsia"/>
          <w:color w:val="000000" w:themeColor="text1"/>
          <w:highlight w:val="none"/>
          <w:lang w:eastAsia="zh-CN"/>
          <w14:textFill>
            <w14:solidFill>
              <w14:schemeClr w14:val="tx1"/>
            </w14:solidFill>
          </w14:textFill>
        </w:rPr>
        <w:t>、购买学生课桌椅</w:t>
      </w:r>
      <w:r>
        <w:rPr>
          <w:rFonts w:hint="eastAsia"/>
          <w:color w:val="000000" w:themeColor="text1"/>
          <w:highlight w:val="none"/>
          <w:lang w:val="en-US" w:eastAsia="zh-CN"/>
          <w14:textFill>
            <w14:solidFill>
              <w14:schemeClr w14:val="tx1"/>
            </w14:solidFill>
          </w14:textFill>
        </w:rPr>
        <w:t>及</w:t>
      </w:r>
      <w:r>
        <w:rPr>
          <w:rFonts w:hint="eastAsia"/>
          <w:color w:val="000000" w:themeColor="text1"/>
          <w:highlight w:val="none"/>
          <w:lang w:eastAsia="zh-CN"/>
          <w14:textFill>
            <w14:solidFill>
              <w14:schemeClr w14:val="tx1"/>
            </w14:solidFill>
          </w14:textFill>
        </w:rPr>
        <w:t>购买纳米智慧黑板</w:t>
      </w:r>
      <w:r>
        <w:rPr>
          <w:rFonts w:hint="eastAsia"/>
          <w:color w:val="000000" w:themeColor="text1"/>
          <w:highlight w:val="none"/>
          <w:lang w:val="en-US" w:eastAsia="zh-CN"/>
          <w14:textFill>
            <w14:solidFill>
              <w14:schemeClr w14:val="tx1"/>
            </w14:solidFill>
          </w14:textFill>
        </w:rPr>
        <w:t>4</w:t>
      </w:r>
      <w:r>
        <w:rPr>
          <w:rFonts w:hint="eastAsia"/>
          <w:highlight w:val="none"/>
          <w:lang w:val="en-US"/>
        </w:rPr>
        <w:t>项</w:t>
      </w:r>
      <w:r>
        <w:rPr>
          <w:rFonts w:hint="eastAsia"/>
          <w:highlight w:val="none"/>
        </w:rPr>
        <w:t>主要任务</w:t>
      </w:r>
      <w:r>
        <w:rPr>
          <w:rFonts w:hint="eastAsia"/>
          <w:highlight w:val="none"/>
          <w:lang w:eastAsia="zh-CN"/>
        </w:rPr>
        <w:t>，</w:t>
      </w:r>
      <w:r>
        <w:rPr>
          <w:rFonts w:hint="eastAsia"/>
          <w:highlight w:val="none"/>
          <w:lang w:val="en-US" w:eastAsia="zh-CN"/>
        </w:rPr>
        <w:t>整体</w:t>
      </w:r>
      <w:r>
        <w:rPr>
          <w:rFonts w:hint="eastAsia"/>
          <w:color w:val="000000" w:themeColor="text1"/>
          <w:highlight w:val="none"/>
          <w:lang w:val="en-US"/>
          <w14:textFill>
            <w14:solidFill>
              <w14:schemeClr w14:val="tx1"/>
            </w14:solidFill>
          </w14:textFill>
        </w:rPr>
        <w:t>绩效目标编制含数量、质量、成本、时效、效益、满意度等指标，要素完整，指标设置符合规范要求。</w:t>
      </w:r>
    </w:p>
    <w:p w14:paraId="4D5BD0D4">
      <w:pPr>
        <w:pStyle w:val="4"/>
        <w:pageBreakBefore w:val="0"/>
        <w:wordWrap/>
        <w:overflowPunct/>
        <w:topLinePunct w:val="0"/>
        <w:bidi w:val="0"/>
        <w:spacing w:line="560" w:lineRule="exact"/>
        <w:rPr>
          <w:rFonts w:hint="eastAsia"/>
          <w:color w:val="000000" w:themeColor="text1"/>
          <w:highlight w:val="none"/>
          <w:lang w:val="en-US"/>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综合上述分析，此项指标分值10分，实际得分10分。</w:t>
      </w:r>
    </w:p>
    <w:p w14:paraId="6C703A6B">
      <w:pPr>
        <w:pStyle w:val="4"/>
        <w:pageBreakBefore w:val="0"/>
        <w:widowControl w:val="0"/>
        <w:numPr>
          <w:ilvl w:val="0"/>
          <w:numId w:val="0"/>
        </w:numPr>
        <w:kinsoku/>
        <w:wordWrap/>
        <w:overflowPunct/>
        <w:topLinePunct w:val="0"/>
        <w:autoSpaceDE/>
        <w:autoSpaceDN/>
        <w:bidi w:val="0"/>
        <w:spacing w:line="560" w:lineRule="exact"/>
        <w:ind w:firstLine="643" w:firstLineChars="200"/>
        <w:textAlignment w:val="auto"/>
        <w:outlineLvl w:val="9"/>
        <w:rPr>
          <w:rFonts w:hint="default"/>
          <w:color w:val="auto"/>
          <w:highlight w:val="none"/>
          <w:lang w:val="en-US" w:eastAsia="zh-CN"/>
        </w:rPr>
      </w:pPr>
      <w:r>
        <w:rPr>
          <w:rFonts w:hint="eastAsia"/>
          <w:b/>
          <w:bCs/>
          <w:color w:val="auto"/>
          <w:szCs w:val="32"/>
          <w:highlight w:val="none"/>
          <w:lang w:val="en-US" w:eastAsia="zh-CN"/>
        </w:rPr>
        <w:t>②</w:t>
      </w:r>
      <w:bookmarkEnd w:id="227"/>
      <w:bookmarkEnd w:id="228"/>
      <w:r>
        <w:rPr>
          <w:rFonts w:hint="eastAsia"/>
          <w:b/>
          <w:bCs/>
          <w:color w:val="auto"/>
          <w:szCs w:val="32"/>
          <w:highlight w:val="none"/>
          <w:lang w:val="en-US" w:eastAsia="zh-CN"/>
        </w:rPr>
        <w:t>目标实现</w:t>
      </w:r>
    </w:p>
    <w:p w14:paraId="69E0A71E">
      <w:pPr>
        <w:pStyle w:val="4"/>
        <w:pageBreakBefore w:val="0"/>
        <w:wordWrap/>
        <w:overflowPunct/>
        <w:topLinePunct w:val="0"/>
        <w:bidi w:val="0"/>
        <w:spacing w:line="560" w:lineRule="exact"/>
        <w:rPr>
          <w:rFonts w:hint="eastAsia"/>
          <w:color w:val="000000" w:themeColor="text1"/>
          <w:highlight w:val="none"/>
          <w:lang w:val="en-US"/>
          <w14:textFill>
            <w14:solidFill>
              <w14:schemeClr w14:val="tx1"/>
            </w14:solidFill>
          </w14:textFill>
        </w:rPr>
      </w:pPr>
      <w:bookmarkStart w:id="229" w:name="_Toc1796"/>
      <w:bookmarkStart w:id="230" w:name="_Toc14502"/>
      <w:r>
        <w:rPr>
          <w:rFonts w:hint="eastAsia"/>
          <w:color w:val="000000" w:themeColor="text1"/>
          <w:highlight w:val="none"/>
          <w:lang w:val="en-US"/>
          <w14:textFill>
            <w14:solidFill>
              <w14:schemeClr w14:val="tx1"/>
            </w14:solidFill>
          </w14:textFill>
        </w:rPr>
        <w:t>评价组核查了</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val="en-US"/>
          <w14:textFill>
            <w14:solidFill>
              <w14:schemeClr w14:val="tx1"/>
            </w14:solidFill>
          </w14:textFill>
        </w:rPr>
        <w:t>个项目共</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lang w:val="en-US"/>
          <w14:textFill>
            <w14:solidFill>
              <w14:schemeClr w14:val="tx1"/>
            </w14:solidFill>
          </w14:textFill>
        </w:rPr>
        <w:t>个数量指标的完成情况，</w:t>
      </w:r>
      <w:r>
        <w:rPr>
          <w:rFonts w:hint="eastAsia"/>
          <w:color w:val="000000" w:themeColor="text1"/>
          <w:highlight w:val="none"/>
          <w:lang w:val="en-US" w:eastAsia="zh-CN"/>
          <w14:textFill>
            <w14:solidFill>
              <w14:schemeClr w14:val="tx1"/>
            </w14:solidFill>
          </w14:textFill>
        </w:rPr>
        <w:t>完成了支付196名教职工资薪酬及社保费用</w:t>
      </w:r>
      <w:r>
        <w:rPr>
          <w:rFonts w:hint="eastAsia"/>
          <w:color w:val="000000" w:themeColor="text1"/>
          <w:highlight w:val="none"/>
          <w:lang w:val="en-US" w:eastAsia="zh-CN"/>
          <w14:textFill>
            <w14:solidFill>
              <w14:schemeClr w14:val="tx1"/>
            </w14:solidFill>
          </w14:textFill>
        </w:rPr>
        <w:tab/>
      </w:r>
      <w:r>
        <w:rPr>
          <w:rFonts w:hint="eastAsia"/>
          <w:color w:val="000000" w:themeColor="text1"/>
          <w:highlight w:val="none"/>
          <w:lang w:val="en-US" w:eastAsia="zh-CN"/>
          <w14:textFill>
            <w14:solidFill>
              <w14:schemeClr w14:val="tx1"/>
            </w14:solidFill>
          </w14:textFill>
        </w:rPr>
        <w:t>、支付141名教职工公用经费、支付141名教职工伙食补助费、购买课座椅600套及购买智慧黑板22套，5</w:t>
      </w:r>
      <w:r>
        <w:rPr>
          <w:rFonts w:hint="eastAsia"/>
          <w:color w:val="000000" w:themeColor="text1"/>
          <w:highlight w:val="none"/>
          <w:lang w:val="en-US"/>
          <w14:textFill>
            <w14:solidFill>
              <w14:schemeClr w14:val="tx1"/>
            </w14:solidFill>
          </w14:textFill>
        </w:rPr>
        <w:t>个数量指标实际完成数量情况达到预期目标。</w:t>
      </w:r>
    </w:p>
    <w:p w14:paraId="78BD31FA">
      <w:pPr>
        <w:pStyle w:val="4"/>
        <w:pageBreakBefore w:val="0"/>
        <w:wordWrap/>
        <w:overflowPunct/>
        <w:topLinePunct w:val="0"/>
        <w:bidi w:val="0"/>
        <w:spacing w:line="560" w:lineRule="exact"/>
        <w:rPr>
          <w:rFonts w:hint="eastAsia"/>
          <w:color w:val="000000" w:themeColor="text1"/>
          <w:highlight w:val="none"/>
          <w:lang w:val="en-US"/>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综合上述分析，此项指标分值10分，实际得分10分。</w:t>
      </w:r>
    </w:p>
    <w:p w14:paraId="635CD5F8">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b/>
          <w:bCs/>
          <w:color w:val="auto"/>
          <w:szCs w:val="32"/>
          <w:lang w:val="en-US" w:eastAsia="zh-CN"/>
        </w:rPr>
      </w:pPr>
      <w:r>
        <w:rPr>
          <w:rFonts w:hint="eastAsia"/>
          <w:b/>
          <w:bCs/>
          <w:color w:val="auto"/>
          <w:szCs w:val="32"/>
          <w:lang w:val="en-US" w:eastAsia="zh-CN"/>
        </w:rPr>
        <w:t>③编制准确</w:t>
      </w:r>
    </w:p>
    <w:p w14:paraId="524D0CBF">
      <w:pPr>
        <w:pStyle w:val="4"/>
        <w:pageBreakBefore w:val="0"/>
        <w:wordWrap/>
        <w:overflowPunct/>
        <w:topLinePunct w:val="0"/>
        <w:bidi w:val="0"/>
        <w:spacing w:line="560" w:lineRule="exact"/>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14:textFill>
            <w14:solidFill>
              <w14:schemeClr w14:val="tx1"/>
            </w14:solidFill>
          </w14:textFill>
        </w:rPr>
        <w:t>根据</w:t>
      </w:r>
      <w:r>
        <w:rPr>
          <w:rFonts w:hint="eastAsia"/>
          <w:color w:val="000000" w:themeColor="text1"/>
          <w:highlight w:val="none"/>
          <w:lang w:val="en-US" w:eastAsia="zh-CN"/>
          <w14:textFill>
            <w14:solidFill>
              <w14:schemeClr w14:val="tx1"/>
            </w14:solidFill>
          </w14:textFill>
        </w:rPr>
        <w:t>实验小学</w:t>
      </w:r>
      <w:r>
        <w:rPr>
          <w:rFonts w:hint="eastAsia"/>
          <w:color w:val="000000" w:themeColor="text1"/>
          <w:highlight w:val="none"/>
          <w:lang w:val="en-US"/>
          <w14:textFill>
            <w14:solidFill>
              <w14:schemeClr w14:val="tx1"/>
            </w14:solidFill>
          </w14:textFill>
        </w:rPr>
        <w:t>202</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lang w:val="en-US"/>
          <w14:textFill>
            <w14:solidFill>
              <w14:schemeClr w14:val="tx1"/>
            </w14:solidFill>
          </w14:textFill>
        </w:rPr>
        <w:t>年预算、决算表</w:t>
      </w:r>
      <w:r>
        <w:rPr>
          <w:rFonts w:hint="eastAsia"/>
          <w:color w:val="000000" w:themeColor="text1"/>
          <w:highlight w:val="none"/>
          <w:lang w:val="en-US" w:eastAsia="zh-CN"/>
          <w14:textFill>
            <w14:solidFill>
              <w14:schemeClr w14:val="tx1"/>
            </w14:solidFill>
          </w14:textFill>
        </w:rPr>
        <w:t>及结算表</w:t>
      </w:r>
      <w:r>
        <w:rPr>
          <w:rFonts w:hint="eastAsia"/>
          <w:color w:val="000000" w:themeColor="text1"/>
          <w:highlight w:val="none"/>
          <w:lang w:val="en-US"/>
          <w14:textFill>
            <w14:solidFill>
              <w14:schemeClr w14:val="tx1"/>
            </w14:solidFill>
          </w14:textFill>
        </w:rPr>
        <w:t>，单位202</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lang w:val="en-US"/>
          <w14:textFill>
            <w14:solidFill>
              <w14:schemeClr w14:val="tx1"/>
            </w14:solidFill>
          </w14:textFill>
        </w:rPr>
        <w:t>年预算数为</w:t>
      </w:r>
      <w:r>
        <w:rPr>
          <w:rFonts w:hint="eastAsia"/>
          <w:color w:val="auto"/>
          <w:szCs w:val="32"/>
          <w:lang w:val="en-US" w:eastAsia="zh-CN"/>
        </w:rPr>
        <w:t>2192.54</w:t>
      </w:r>
      <w:r>
        <w:rPr>
          <w:rFonts w:hint="eastAsia"/>
          <w:color w:val="000000" w:themeColor="text1"/>
          <w:highlight w:val="none"/>
          <w:lang w:val="en-US"/>
          <w14:textFill>
            <w14:solidFill>
              <w14:schemeClr w14:val="tx1"/>
            </w14:solidFill>
          </w14:textFill>
        </w:rPr>
        <w:t>万元，</w:t>
      </w:r>
      <w:r>
        <w:rPr>
          <w:rFonts w:hint="eastAsia"/>
          <w:color w:val="000000" w:themeColor="text1"/>
          <w:highlight w:val="none"/>
          <w:lang w:val="en-US" w:eastAsia="zh-CN"/>
          <w14:textFill>
            <w14:solidFill>
              <w14:schemeClr w14:val="tx1"/>
            </w14:solidFill>
          </w14:textFill>
        </w:rPr>
        <w:t>调整预算为</w:t>
      </w:r>
      <w:r>
        <w:rPr>
          <w:rFonts w:hint="eastAsia"/>
          <w:color w:val="auto"/>
          <w:szCs w:val="32"/>
          <w:lang w:val="en-US" w:eastAsia="zh-CN"/>
        </w:rPr>
        <w:t xml:space="preserve"> 2473.58</w:t>
      </w:r>
      <w:r>
        <w:rPr>
          <w:rFonts w:hint="eastAsia"/>
          <w:color w:val="000000" w:themeColor="text1"/>
          <w:highlight w:val="none"/>
          <w:lang w:val="en-US" w:eastAsia="zh-CN"/>
          <w14:textFill>
            <w14:solidFill>
              <w14:schemeClr w14:val="tx1"/>
            </w14:solidFill>
          </w14:textFill>
        </w:rPr>
        <w:t>万元，</w:t>
      </w:r>
      <w:r>
        <w:rPr>
          <w:rFonts w:hint="eastAsia"/>
          <w:color w:val="000000" w:themeColor="text1"/>
          <w:highlight w:val="none"/>
          <w:lang w:val="en-US"/>
          <w14:textFill>
            <w14:solidFill>
              <w14:schemeClr w14:val="tx1"/>
            </w14:solidFill>
          </w14:textFill>
        </w:rPr>
        <w:t>支出决算数为</w:t>
      </w:r>
      <w:r>
        <w:rPr>
          <w:rFonts w:hint="eastAsia"/>
          <w:color w:val="auto"/>
          <w:szCs w:val="32"/>
          <w:lang w:val="en-US" w:eastAsia="zh-CN"/>
        </w:rPr>
        <w:t>2453.58</w:t>
      </w:r>
      <w:r>
        <w:rPr>
          <w:rFonts w:hint="eastAsia"/>
          <w:color w:val="000000" w:themeColor="text1"/>
          <w:highlight w:val="none"/>
          <w:lang w:val="en-US"/>
          <w14:textFill>
            <w14:solidFill>
              <w14:schemeClr w14:val="tx1"/>
            </w14:solidFill>
          </w14:textFill>
        </w:rPr>
        <w:t>万元</w:t>
      </w:r>
      <w:r>
        <w:rPr>
          <w:rFonts w:hint="eastAsia"/>
          <w:color w:val="000000" w:themeColor="text1"/>
          <w:highlight w:val="none"/>
          <w:lang w:val="en-US" w:eastAsia="zh-CN"/>
          <w14:textFill>
            <w14:solidFill>
              <w14:schemeClr w14:val="tx1"/>
            </w14:solidFill>
          </w14:textFill>
        </w:rPr>
        <w:t>。</w:t>
      </w:r>
    </w:p>
    <w:p w14:paraId="208DFA8D">
      <w:pPr>
        <w:pStyle w:val="4"/>
        <w:pageBreakBefore w:val="0"/>
        <w:wordWrap/>
        <w:overflowPunct/>
        <w:topLinePunct w:val="0"/>
        <w:bidi w:val="0"/>
        <w:spacing w:line="560" w:lineRule="exact"/>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根据评分公式，部门全年预算调剂金额/年初部门预算数=0.12&gt;0.1</w:t>
      </w:r>
    </w:p>
    <w:p w14:paraId="2F0562D4">
      <w:pPr>
        <w:pStyle w:val="4"/>
        <w:pageBreakBefore w:val="0"/>
        <w:wordWrap/>
        <w:overflowPunct/>
        <w:topLinePunct w:val="0"/>
        <w:bidi w:val="0"/>
        <w:spacing w:line="560" w:lineRule="exact"/>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综合上述分析，此项指标分值10分，实际得分0分，扣分10分。</w:t>
      </w:r>
    </w:p>
    <w:bookmarkEnd w:id="229"/>
    <w:bookmarkEnd w:id="230"/>
    <w:p w14:paraId="76DF2665">
      <w:pPr>
        <w:pStyle w:val="4"/>
        <w:pageBreakBefore w:val="0"/>
        <w:widowControl w:val="0"/>
        <w:numPr>
          <w:ilvl w:val="0"/>
          <w:numId w:val="3"/>
        </w:numPr>
        <w:kinsoku/>
        <w:wordWrap/>
        <w:overflowPunct/>
        <w:topLinePunct w:val="0"/>
        <w:autoSpaceDE/>
        <w:autoSpaceDN/>
        <w:bidi w:val="0"/>
        <w:spacing w:line="560" w:lineRule="exact"/>
        <w:ind w:left="0" w:leftChars="0" w:firstLine="643" w:firstLineChars="200"/>
        <w:textAlignment w:val="auto"/>
        <w:outlineLvl w:val="2"/>
        <w:rPr>
          <w:rFonts w:hint="eastAsia" w:ascii="仿宋" w:hAnsi="仿宋" w:eastAsia="仿宋" w:cs="仿宋"/>
          <w:b/>
          <w:color w:val="auto"/>
          <w:kern w:val="2"/>
          <w:sz w:val="32"/>
          <w:szCs w:val="32"/>
          <w:lang w:val="en-US" w:eastAsia="zh-CN" w:bidi="ar-SA"/>
        </w:rPr>
      </w:pPr>
      <w:bookmarkStart w:id="231" w:name="_Toc31562"/>
      <w:bookmarkStart w:id="232" w:name="_Toc20570"/>
      <w:r>
        <w:rPr>
          <w:rFonts w:hint="eastAsia" w:ascii="仿宋" w:hAnsi="仿宋" w:eastAsia="仿宋" w:cs="仿宋"/>
          <w:b/>
          <w:color w:val="auto"/>
          <w:kern w:val="2"/>
          <w:sz w:val="32"/>
          <w:szCs w:val="32"/>
          <w:lang w:val="en-US" w:eastAsia="zh-CN" w:bidi="ar-SA"/>
        </w:rPr>
        <w:t>预算执行</w:t>
      </w:r>
    </w:p>
    <w:p w14:paraId="5629BEF5">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①支出控制</w:t>
      </w:r>
    </w:p>
    <w:p w14:paraId="5898919D">
      <w:pPr>
        <w:pStyle w:val="4"/>
        <w:pageBreakBefore w:val="0"/>
        <w:wordWrap/>
        <w:overflowPunct/>
        <w:topLinePunct w:val="0"/>
        <w:bidi w:val="0"/>
        <w:spacing w:line="560" w:lineRule="exact"/>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14:textFill>
            <w14:solidFill>
              <w14:schemeClr w14:val="tx1"/>
            </w14:solidFill>
          </w14:textFill>
        </w:rPr>
        <w:t>日常公用经费及项目支出中“办公费、印刷费、水费、电费、物业管理费”等科目年初预算数为</w:t>
      </w:r>
      <w:r>
        <w:rPr>
          <w:rFonts w:hint="eastAsia"/>
          <w:color w:val="000000" w:themeColor="text1"/>
          <w:highlight w:val="none"/>
          <w:lang w:val="en-US" w:eastAsia="zh-CN"/>
          <w14:textFill>
            <w14:solidFill>
              <w14:schemeClr w14:val="tx1"/>
            </w14:solidFill>
          </w14:textFill>
        </w:rPr>
        <w:t>125.13</w:t>
      </w:r>
      <w:r>
        <w:rPr>
          <w:rFonts w:hint="eastAsia"/>
          <w:color w:val="000000" w:themeColor="text1"/>
          <w:highlight w:val="none"/>
          <w:lang w:val="en-US"/>
          <w14:textFill>
            <w14:solidFill>
              <w14:schemeClr w14:val="tx1"/>
            </w14:solidFill>
          </w14:textFill>
        </w:rPr>
        <w:t>万元，决算数为</w:t>
      </w:r>
      <w:r>
        <w:rPr>
          <w:rFonts w:hint="eastAsia"/>
          <w:color w:val="000000" w:themeColor="text1"/>
          <w:highlight w:val="none"/>
          <w:lang w:val="en-US" w:eastAsia="zh-CN"/>
          <w14:textFill>
            <w14:solidFill>
              <w14:schemeClr w14:val="tx1"/>
            </w14:solidFill>
          </w14:textFill>
        </w:rPr>
        <w:t>320.87</w:t>
      </w:r>
      <w:r>
        <w:rPr>
          <w:rFonts w:hint="eastAsia"/>
          <w:color w:val="000000" w:themeColor="text1"/>
          <w:highlight w:val="none"/>
          <w:lang w:val="en-US"/>
          <w14:textFill>
            <w14:solidFill>
              <w14:schemeClr w14:val="tx1"/>
            </w14:solidFill>
          </w14:textFill>
        </w:rPr>
        <w:t>万元，预决算偏差程度为</w:t>
      </w:r>
      <w:r>
        <w:rPr>
          <w:rFonts w:hint="eastAsia"/>
          <w:color w:val="000000" w:themeColor="text1"/>
          <w:highlight w:val="none"/>
          <w:lang w:val="en-US" w:eastAsia="zh-CN"/>
          <w14:textFill>
            <w14:solidFill>
              <w14:schemeClr w14:val="tx1"/>
            </w14:solidFill>
          </w14:textFill>
        </w:rPr>
        <w:t>156.42</w:t>
      </w:r>
      <w:r>
        <w:rPr>
          <w:rFonts w:hint="eastAsia"/>
          <w:color w:val="000000" w:themeColor="text1"/>
          <w:highlight w:val="none"/>
          <w:lang w:val="en-US"/>
          <w14:textFill>
            <w14:solidFill>
              <w14:schemeClr w14:val="tx1"/>
            </w14:solidFill>
          </w14:textFill>
        </w:rPr>
        <w:t>%，偏差程度</w:t>
      </w:r>
      <w:r>
        <w:rPr>
          <w:rFonts w:hint="eastAsia"/>
          <w:color w:val="000000" w:themeColor="text1"/>
          <w:highlight w:val="none"/>
          <w:lang w:val="en-US" w:eastAsia="zh-CN"/>
          <w14:textFill>
            <w14:solidFill>
              <w14:schemeClr w14:val="tx1"/>
            </w14:solidFill>
          </w14:textFill>
        </w:rPr>
        <w:t>超过20%，编制不准确。</w:t>
      </w:r>
    </w:p>
    <w:p w14:paraId="6B32F58F">
      <w:pPr>
        <w:pStyle w:val="4"/>
        <w:pageBreakBefore w:val="0"/>
        <w:wordWrap/>
        <w:overflowPunct/>
        <w:topLinePunct w:val="0"/>
        <w:bidi w:val="0"/>
        <w:spacing w:line="560" w:lineRule="exact"/>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综合上述分析，此项指标分值10分，实际得分0分，扣分10分。</w:t>
      </w:r>
    </w:p>
    <w:p w14:paraId="69C9331E">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②动态调整</w:t>
      </w:r>
    </w:p>
    <w:p w14:paraId="434BE096">
      <w:pPr>
        <w:pStyle w:val="4"/>
        <w:pageBreakBefore w:val="0"/>
        <w:wordWrap/>
        <w:overflowPunct/>
        <w:topLinePunct w:val="0"/>
        <w:bidi w:val="0"/>
        <w:spacing w:line="560" w:lineRule="exact"/>
        <w:rPr>
          <w:rFonts w:hint="eastAsia"/>
          <w:highlight w:val="none"/>
        </w:rPr>
      </w:pPr>
      <w:r>
        <w:rPr>
          <w:rFonts w:hint="eastAsia"/>
          <w:highlight w:val="none"/>
        </w:rPr>
        <w:t>根据部门项目绩效监控分析表及相关数据知，</w:t>
      </w:r>
      <w:r>
        <w:rPr>
          <w:rFonts w:hint="eastAsia"/>
          <w:highlight w:val="none"/>
          <w:lang w:val="en-US" w:eastAsia="zh-CN"/>
        </w:rPr>
        <w:t>实验小学</w:t>
      </w:r>
      <w:r>
        <w:rPr>
          <w:rFonts w:hint="eastAsia"/>
          <w:highlight w:val="none"/>
        </w:rPr>
        <w:t>开展绩效运行监控后，无相应调整取消额，无结余注销额，绩效监控结果应用情况良好。</w:t>
      </w:r>
    </w:p>
    <w:p w14:paraId="01EADDAF">
      <w:pPr>
        <w:pStyle w:val="4"/>
        <w:pageBreakBefore w:val="0"/>
        <w:wordWrap/>
        <w:overflowPunct/>
        <w:topLinePunct w:val="0"/>
        <w:bidi w:val="0"/>
        <w:spacing w:line="560" w:lineRule="exact"/>
        <w:rPr>
          <w:rFonts w:hint="eastAsia"/>
          <w:highlight w:val="none"/>
          <w:lang w:val="en-US" w:eastAsia="zh-CN"/>
        </w:rPr>
      </w:pPr>
      <w:r>
        <w:rPr>
          <w:rFonts w:hint="eastAsia"/>
          <w:color w:val="000000" w:themeColor="text1"/>
          <w:highlight w:val="none"/>
          <w:lang w:val="en-US" w:eastAsia="zh-CN"/>
          <w14:textFill>
            <w14:solidFill>
              <w14:schemeClr w14:val="tx1"/>
            </w14:solidFill>
          </w14:textFill>
        </w:rPr>
        <w:t>综合上述分析，此项指标分值10分，实际得分10分。</w:t>
      </w:r>
    </w:p>
    <w:p w14:paraId="7D5C63BE">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③执行进度</w:t>
      </w:r>
    </w:p>
    <w:p w14:paraId="02F4FC58">
      <w:pPr>
        <w:pStyle w:val="4"/>
        <w:pageBreakBefore w:val="0"/>
        <w:wordWrap/>
        <w:overflowPunct/>
        <w:topLinePunct w:val="0"/>
        <w:bidi w:val="0"/>
        <w:spacing w:line="560" w:lineRule="exact"/>
        <w:rPr>
          <w:rFonts w:hint="eastAsia"/>
          <w:highlight w:val="none"/>
        </w:rPr>
      </w:pPr>
      <w:r>
        <w:rPr>
          <w:rFonts w:hint="eastAsia"/>
          <w:highlight w:val="none"/>
        </w:rPr>
        <w:t>在</w:t>
      </w:r>
      <w:r>
        <w:rPr>
          <w:rFonts w:hint="eastAsia"/>
          <w:highlight w:val="none"/>
          <w:lang w:val="en-US"/>
        </w:rPr>
        <w:t>202</w:t>
      </w:r>
      <w:r>
        <w:rPr>
          <w:rFonts w:hint="eastAsia"/>
          <w:highlight w:val="none"/>
          <w:lang w:val="en-US" w:eastAsia="zh-CN"/>
        </w:rPr>
        <w:t>1</w:t>
      </w:r>
      <w:r>
        <w:rPr>
          <w:rFonts w:hint="eastAsia"/>
          <w:highlight w:val="none"/>
          <w:lang w:val="en-US"/>
        </w:rPr>
        <w:t>年6月、9</w:t>
      </w:r>
      <w:r>
        <w:rPr>
          <w:rFonts w:hint="eastAsia"/>
          <w:highlight w:val="none"/>
        </w:rPr>
        <w:t>月、11月预算执行进度</w:t>
      </w:r>
      <w:r>
        <w:rPr>
          <w:highlight w:val="none"/>
        </w:rPr>
        <w:t>分别为</w:t>
      </w:r>
      <w:r>
        <w:rPr>
          <w:rFonts w:hint="eastAsia"/>
          <w:highlight w:val="none"/>
        </w:rPr>
        <w:t>5</w:t>
      </w:r>
      <w:r>
        <w:rPr>
          <w:rFonts w:hint="eastAsia"/>
          <w:highlight w:val="none"/>
          <w:lang w:val="en-US" w:eastAsia="zh-CN"/>
        </w:rPr>
        <w:t>5.55</w:t>
      </w:r>
      <w:r>
        <w:rPr>
          <w:rFonts w:hint="eastAsia"/>
          <w:highlight w:val="none"/>
        </w:rPr>
        <w:t>%、</w:t>
      </w:r>
      <w:r>
        <w:rPr>
          <w:rFonts w:hint="eastAsia"/>
          <w:highlight w:val="none"/>
          <w:lang w:val="en-US" w:eastAsia="zh-CN"/>
        </w:rPr>
        <w:t>83.78</w:t>
      </w:r>
      <w:r>
        <w:rPr>
          <w:rFonts w:hint="eastAsia"/>
          <w:highlight w:val="none"/>
        </w:rPr>
        <w:t>%、</w:t>
      </w:r>
      <w:r>
        <w:rPr>
          <w:rFonts w:hint="eastAsia"/>
          <w:highlight w:val="none"/>
          <w:lang w:val="en-US" w:eastAsia="zh-CN"/>
        </w:rPr>
        <w:t>98.77</w:t>
      </w:r>
      <w:r>
        <w:rPr>
          <w:rFonts w:hint="eastAsia"/>
          <w:highlight w:val="none"/>
        </w:rPr>
        <w:t>%（实际支出</w:t>
      </w:r>
      <w:r>
        <w:rPr>
          <w:rFonts w:hint="eastAsia"/>
          <w:highlight w:val="none"/>
          <w:lang w:val="en-US"/>
        </w:rPr>
        <w:t>金额</w:t>
      </w:r>
      <w:r>
        <w:rPr>
          <w:rFonts w:hint="eastAsia"/>
          <w:highlight w:val="none"/>
        </w:rPr>
        <w:t>分别为</w:t>
      </w:r>
      <w:r>
        <w:rPr>
          <w:rFonts w:hint="eastAsia"/>
          <w:highlight w:val="none"/>
          <w:lang w:val="en-US" w:eastAsia="zh-CN"/>
        </w:rPr>
        <w:t>1217.92</w:t>
      </w:r>
      <w:r>
        <w:rPr>
          <w:rFonts w:hint="eastAsia"/>
          <w:highlight w:val="none"/>
        </w:rPr>
        <w:t>万元、</w:t>
      </w:r>
      <w:r>
        <w:rPr>
          <w:rFonts w:hint="eastAsia"/>
          <w:highlight w:val="none"/>
          <w:lang w:val="en-US" w:eastAsia="zh-CN"/>
        </w:rPr>
        <w:t>1836.85</w:t>
      </w:r>
      <w:r>
        <w:rPr>
          <w:rFonts w:hint="eastAsia"/>
          <w:highlight w:val="none"/>
        </w:rPr>
        <w:t>万元、</w:t>
      </w:r>
      <w:r>
        <w:rPr>
          <w:rFonts w:hint="eastAsia"/>
          <w:highlight w:val="none"/>
          <w:lang w:val="en-US" w:eastAsia="zh-CN"/>
        </w:rPr>
        <w:t>2165.67</w:t>
      </w:r>
      <w:r>
        <w:rPr>
          <w:rFonts w:hint="eastAsia"/>
          <w:highlight w:val="none"/>
        </w:rPr>
        <w:t>万元），实际支出进度分别达到40%、67.5%、82.5%，</w:t>
      </w:r>
      <w:r>
        <w:rPr>
          <w:rFonts w:hint="eastAsia"/>
          <w:highlight w:val="none"/>
          <w:lang w:val="en-US"/>
        </w:rPr>
        <w:t>预算</w:t>
      </w:r>
      <w:r>
        <w:rPr>
          <w:rFonts w:hint="eastAsia"/>
          <w:highlight w:val="none"/>
        </w:rPr>
        <w:t>执行进度完成情况</w:t>
      </w:r>
      <w:r>
        <w:rPr>
          <w:rFonts w:hint="eastAsia"/>
          <w:highlight w:val="none"/>
          <w:lang w:val="en-US" w:eastAsia="zh-CN"/>
        </w:rPr>
        <w:t>好</w:t>
      </w:r>
      <w:r>
        <w:rPr>
          <w:rFonts w:hint="eastAsia"/>
          <w:highlight w:val="none"/>
        </w:rPr>
        <w:t>。</w:t>
      </w:r>
    </w:p>
    <w:p w14:paraId="7319FED8">
      <w:pPr>
        <w:pStyle w:val="4"/>
        <w:pageBreakBefore w:val="0"/>
        <w:wordWrap/>
        <w:overflowPunct/>
        <w:topLinePunct w:val="0"/>
        <w:bidi w:val="0"/>
        <w:spacing w:line="560" w:lineRule="exact"/>
        <w:rPr>
          <w:rFonts w:hint="default"/>
          <w:highlight w:val="none"/>
          <w:lang w:val="en-US" w:eastAsia="zh-CN"/>
        </w:rPr>
      </w:pPr>
      <w:r>
        <w:rPr>
          <w:rFonts w:hint="eastAsia"/>
          <w:color w:val="000000" w:themeColor="text1"/>
          <w:highlight w:val="none"/>
          <w:lang w:val="en-US" w:eastAsia="zh-CN"/>
          <w14:textFill>
            <w14:solidFill>
              <w14:schemeClr w14:val="tx1"/>
            </w14:solidFill>
          </w14:textFill>
        </w:rPr>
        <w:t>综合上述分析，此项指标分值10分，实际得分10分。</w:t>
      </w:r>
    </w:p>
    <w:p w14:paraId="5DB0E732">
      <w:pPr>
        <w:pStyle w:val="4"/>
        <w:pageBreakBefore w:val="0"/>
        <w:widowControl w:val="0"/>
        <w:numPr>
          <w:ilvl w:val="0"/>
          <w:numId w:val="3"/>
        </w:numPr>
        <w:kinsoku/>
        <w:wordWrap/>
        <w:overflowPunct/>
        <w:topLinePunct w:val="0"/>
        <w:autoSpaceDE/>
        <w:autoSpaceDN/>
        <w:bidi w:val="0"/>
        <w:spacing w:line="560" w:lineRule="exact"/>
        <w:ind w:left="0" w:leftChars="0" w:firstLine="643" w:firstLineChars="200"/>
        <w:textAlignment w:val="auto"/>
        <w:outlineLvl w:val="2"/>
        <w:rPr>
          <w:rFonts w:hint="default"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完成结果</w:t>
      </w:r>
    </w:p>
    <w:p w14:paraId="14CB5908">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①预算完成</w:t>
      </w:r>
    </w:p>
    <w:p w14:paraId="4521A670">
      <w:pPr>
        <w:pStyle w:val="4"/>
        <w:pageBreakBefore w:val="0"/>
        <w:wordWrap/>
        <w:overflowPunct/>
        <w:topLinePunct w:val="0"/>
        <w:bidi w:val="0"/>
        <w:spacing w:line="560" w:lineRule="exact"/>
        <w:rPr>
          <w:rFonts w:hint="eastAsia" w:ascii="Times New Roman" w:hAnsi="Times New Roman" w:eastAsia="仿宋_GB2312" w:cs="Times New Roman"/>
          <w:kern w:val="0"/>
          <w:sz w:val="32"/>
          <w:szCs w:val="32"/>
          <w:highlight w:val="none"/>
        </w:rPr>
      </w:pPr>
      <w:r>
        <w:rPr>
          <w:rFonts w:hint="eastAsia" w:ascii="Times New Roman" w:hAnsi="Times New Roman" w:eastAsia="仿宋_GB2312" w:cs="Times New Roman"/>
          <w:kern w:val="0"/>
          <w:sz w:val="32"/>
          <w:szCs w:val="32"/>
          <w:highlight w:val="none"/>
        </w:rPr>
        <w:t>202</w:t>
      </w:r>
      <w:r>
        <w:rPr>
          <w:rFonts w:hint="eastAsia" w:ascii="Times New Roman" w:hAnsi="Times New Roman" w:eastAsia="仿宋_GB2312" w:cs="Times New Roman"/>
          <w:kern w:val="0"/>
          <w:sz w:val="32"/>
          <w:szCs w:val="32"/>
          <w:highlight w:val="none"/>
          <w:lang w:val="en-US" w:eastAsia="zh-CN"/>
        </w:rPr>
        <w:t>1</w:t>
      </w:r>
      <w:r>
        <w:rPr>
          <w:rFonts w:hint="eastAsia" w:ascii="Times New Roman" w:hAnsi="Times New Roman" w:eastAsia="仿宋_GB2312" w:cs="Times New Roman"/>
          <w:kern w:val="0"/>
          <w:sz w:val="32"/>
          <w:szCs w:val="32"/>
          <w:highlight w:val="none"/>
        </w:rPr>
        <w:t>年部门</w:t>
      </w:r>
      <w:r>
        <w:rPr>
          <w:rFonts w:hint="eastAsia" w:ascii="Times New Roman" w:hAnsi="Times New Roman" w:eastAsia="仿宋_GB2312" w:cs="Times New Roman"/>
          <w:kern w:val="0"/>
          <w:sz w:val="32"/>
          <w:szCs w:val="32"/>
          <w:highlight w:val="none"/>
          <w:lang w:val="en-US" w:eastAsia="zh-CN"/>
        </w:rPr>
        <w:t>调整</w:t>
      </w:r>
      <w:r>
        <w:rPr>
          <w:rFonts w:hint="eastAsia" w:ascii="Times New Roman" w:hAnsi="Times New Roman" w:eastAsia="仿宋_GB2312" w:cs="Times New Roman"/>
          <w:kern w:val="0"/>
          <w:sz w:val="32"/>
          <w:szCs w:val="32"/>
          <w:highlight w:val="none"/>
        </w:rPr>
        <w:t>预算</w:t>
      </w:r>
      <w:r>
        <w:rPr>
          <w:rFonts w:hint="eastAsia" w:ascii="Times New Roman" w:hAnsi="Times New Roman" w:eastAsia="仿宋_GB2312" w:cs="Times New Roman"/>
          <w:kern w:val="0"/>
          <w:sz w:val="32"/>
          <w:szCs w:val="32"/>
          <w:highlight w:val="none"/>
          <w:lang w:val="en-US" w:eastAsia="zh-CN"/>
        </w:rPr>
        <w:t>为</w:t>
      </w:r>
      <w:r>
        <w:rPr>
          <w:rFonts w:hint="eastAsia"/>
          <w:color w:val="000000" w:themeColor="text1"/>
          <w:highlight w:val="none"/>
          <w:lang w:val="en-US" w:eastAsia="zh-CN"/>
          <w14:textFill>
            <w14:solidFill>
              <w14:schemeClr w14:val="tx1"/>
            </w14:solidFill>
          </w14:textFill>
        </w:rPr>
        <w:t>2473.58万元，</w:t>
      </w:r>
      <w:r>
        <w:rPr>
          <w:rFonts w:hint="eastAsia"/>
          <w:color w:val="000000" w:themeColor="text1"/>
          <w:highlight w:val="none"/>
          <w:lang w:val="en-US"/>
          <w14:textFill>
            <w14:solidFill>
              <w14:schemeClr w14:val="tx1"/>
            </w14:solidFill>
          </w14:textFill>
        </w:rPr>
        <w:t>支出决算数为</w:t>
      </w:r>
      <w:r>
        <w:rPr>
          <w:rFonts w:hint="eastAsia"/>
          <w:color w:val="000000" w:themeColor="text1"/>
          <w:highlight w:val="none"/>
          <w:lang w:val="en-US" w:eastAsia="zh-CN"/>
          <w14:textFill>
            <w14:solidFill>
              <w14:schemeClr w14:val="tx1"/>
            </w14:solidFill>
          </w14:textFill>
        </w:rPr>
        <w:t>2453.58</w:t>
      </w:r>
      <w:r>
        <w:rPr>
          <w:rFonts w:hint="eastAsia"/>
          <w:color w:val="000000" w:themeColor="text1"/>
          <w:highlight w:val="none"/>
          <w:lang w:val="en-US"/>
          <w14:textFill>
            <w14:solidFill>
              <w14:schemeClr w14:val="tx1"/>
            </w14:solidFill>
          </w14:textFill>
        </w:rPr>
        <w:t>万元</w:t>
      </w:r>
      <w:r>
        <w:rPr>
          <w:rFonts w:hint="eastAsia" w:ascii="Times New Roman" w:hAnsi="Times New Roman" w:eastAsia="仿宋_GB2312" w:cs="Times New Roman"/>
          <w:kern w:val="0"/>
          <w:sz w:val="32"/>
          <w:szCs w:val="32"/>
          <w:highlight w:val="none"/>
        </w:rPr>
        <w:t>，部门整体实际预算执行率为</w:t>
      </w:r>
      <w:r>
        <w:rPr>
          <w:rFonts w:hint="eastAsia" w:ascii="Times New Roman" w:hAnsi="Times New Roman" w:eastAsia="仿宋"/>
          <w:color w:val="auto"/>
          <w:sz w:val="32"/>
          <w:szCs w:val="32"/>
          <w:lang w:val="en-US" w:eastAsia="zh-CN"/>
        </w:rPr>
        <w:t>9</w:t>
      </w:r>
      <w:r>
        <w:rPr>
          <w:rFonts w:hint="eastAsia" w:eastAsia="仿宋"/>
          <w:color w:val="auto"/>
          <w:sz w:val="32"/>
          <w:szCs w:val="32"/>
          <w:lang w:val="en-US" w:eastAsia="zh-CN"/>
        </w:rPr>
        <w:t>9.1</w:t>
      </w:r>
      <w:r>
        <w:rPr>
          <w:rFonts w:hint="eastAsia" w:ascii="Times New Roman" w:hAnsi="Times New Roman" w:eastAsia="仿宋"/>
          <w:color w:val="auto"/>
          <w:sz w:val="32"/>
          <w:szCs w:val="32"/>
          <w:lang w:val="en-US" w:eastAsia="zh-CN"/>
        </w:rPr>
        <w:t>9%</w:t>
      </w:r>
      <w:r>
        <w:rPr>
          <w:rFonts w:hint="eastAsia" w:ascii="Times New Roman" w:hAnsi="Times New Roman" w:eastAsia="仿宋_GB2312" w:cs="Times New Roman"/>
          <w:kern w:val="0"/>
          <w:sz w:val="32"/>
          <w:szCs w:val="32"/>
          <w:highlight w:val="none"/>
        </w:rPr>
        <w:t>，预算完成情况</w:t>
      </w:r>
      <w:r>
        <w:rPr>
          <w:rFonts w:hint="eastAsia" w:cs="Times New Roman"/>
          <w:kern w:val="0"/>
          <w:sz w:val="32"/>
          <w:szCs w:val="32"/>
          <w:highlight w:val="none"/>
          <w:lang w:val="en-US" w:eastAsia="zh-CN"/>
        </w:rPr>
        <w:t>较好</w:t>
      </w:r>
      <w:r>
        <w:rPr>
          <w:rFonts w:hint="eastAsia" w:ascii="Times New Roman" w:hAnsi="Times New Roman" w:eastAsia="仿宋_GB2312" w:cs="Times New Roman"/>
          <w:kern w:val="0"/>
          <w:sz w:val="32"/>
          <w:szCs w:val="32"/>
          <w:highlight w:val="none"/>
        </w:rPr>
        <w:t>。</w:t>
      </w:r>
    </w:p>
    <w:p w14:paraId="7C1D60ED">
      <w:pPr>
        <w:pStyle w:val="4"/>
        <w:pageBreakBefore w:val="0"/>
        <w:wordWrap/>
        <w:overflowPunct/>
        <w:topLinePunct w:val="0"/>
        <w:bidi w:val="0"/>
        <w:spacing w:line="560" w:lineRule="exact"/>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根据评分公式，得分=</w:t>
      </w:r>
      <w:r>
        <w:rPr>
          <w:rFonts w:hint="eastAsia" w:ascii="Times New Roman" w:hAnsi="Times New Roman" w:eastAsia="仿宋"/>
          <w:color w:val="auto"/>
          <w:sz w:val="32"/>
          <w:szCs w:val="32"/>
          <w:lang w:val="en-US" w:eastAsia="zh-CN"/>
        </w:rPr>
        <w:t>9</w:t>
      </w:r>
      <w:r>
        <w:rPr>
          <w:rFonts w:hint="eastAsia" w:eastAsia="仿宋"/>
          <w:color w:val="auto"/>
          <w:sz w:val="32"/>
          <w:szCs w:val="32"/>
          <w:lang w:val="en-US" w:eastAsia="zh-CN"/>
        </w:rPr>
        <w:t>9.1</w:t>
      </w:r>
      <w:r>
        <w:rPr>
          <w:rFonts w:hint="eastAsia" w:ascii="Times New Roman" w:hAnsi="Times New Roman" w:eastAsia="仿宋"/>
          <w:color w:val="auto"/>
          <w:sz w:val="32"/>
          <w:szCs w:val="32"/>
          <w:lang w:val="en-US" w:eastAsia="zh-CN"/>
        </w:rPr>
        <w:t>9%*</w:t>
      </w:r>
      <w:r>
        <w:rPr>
          <w:rFonts w:hint="eastAsia" w:eastAsia="仿宋"/>
          <w:color w:val="auto"/>
          <w:sz w:val="32"/>
          <w:szCs w:val="32"/>
          <w:lang w:val="en-US" w:eastAsia="zh-CN"/>
        </w:rPr>
        <w:t>10=9.99</w:t>
      </w:r>
    </w:p>
    <w:p w14:paraId="521EFC74">
      <w:pPr>
        <w:pStyle w:val="4"/>
        <w:pageBreakBefore w:val="0"/>
        <w:wordWrap/>
        <w:overflowPunct/>
        <w:topLinePunct w:val="0"/>
        <w:bidi w:val="0"/>
        <w:spacing w:line="560" w:lineRule="exact"/>
        <w:rPr>
          <w:rFonts w:hint="eastAsia" w:ascii="Times New Roman" w:hAnsi="Times New Roman" w:eastAsia="仿宋_GB2312" w:cs="Times New Roman"/>
          <w:kern w:val="0"/>
          <w:sz w:val="32"/>
          <w:szCs w:val="32"/>
          <w:highlight w:val="none"/>
        </w:rPr>
      </w:pPr>
      <w:r>
        <w:rPr>
          <w:rFonts w:hint="eastAsia"/>
          <w:color w:val="000000" w:themeColor="text1"/>
          <w:highlight w:val="none"/>
          <w:lang w:val="en-US" w:eastAsia="zh-CN"/>
          <w14:textFill>
            <w14:solidFill>
              <w14:schemeClr w14:val="tx1"/>
            </w14:solidFill>
          </w14:textFill>
        </w:rPr>
        <w:t>综合上述分析，此项指标分值10分，实际得分9.99分，扣分0.01分。</w:t>
      </w:r>
    </w:p>
    <w:p w14:paraId="1BCC83E8">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②违规记录</w:t>
      </w:r>
    </w:p>
    <w:p w14:paraId="7EBE1DB4">
      <w:pPr>
        <w:pageBreakBefore w:val="0"/>
        <w:wordWrap/>
        <w:overflowPunct/>
        <w:topLinePunct w:val="0"/>
        <w:autoSpaceDE w:val="0"/>
        <w:autoSpaceDN w:val="0"/>
        <w:bidi w:val="0"/>
        <w:adjustRightInd w:val="0"/>
        <w:spacing w:line="560" w:lineRule="exact"/>
        <w:ind w:firstLine="640" w:firstLineChars="200"/>
        <w:jc w:val="left"/>
        <w:rPr>
          <w:rFonts w:hint="eastAsia" w:ascii="Times New Roman" w:hAnsi="Times New Roman" w:eastAsia="仿宋_GB2312" w:cs="Times New Roman"/>
          <w:kern w:val="0"/>
          <w:sz w:val="32"/>
          <w:szCs w:val="32"/>
          <w:highlight w:val="none"/>
        </w:rPr>
      </w:pPr>
      <w:r>
        <w:rPr>
          <w:rFonts w:hint="eastAsia" w:ascii="Times New Roman" w:hAnsi="Times New Roman" w:eastAsia="仿宋_GB2312" w:cs="Times New Roman"/>
          <w:kern w:val="0"/>
          <w:sz w:val="32"/>
          <w:szCs w:val="32"/>
          <w:highlight w:val="none"/>
          <w:lang w:val="en-US" w:eastAsia="zh-CN"/>
        </w:rPr>
        <w:t>2021年，单位未接受</w:t>
      </w:r>
      <w:r>
        <w:rPr>
          <w:rFonts w:hint="eastAsia" w:ascii="Times New Roman" w:hAnsi="Times New Roman" w:eastAsia="仿宋_GB2312" w:cs="Times New Roman"/>
          <w:kern w:val="0"/>
          <w:sz w:val="32"/>
          <w:szCs w:val="32"/>
          <w:highlight w:val="none"/>
        </w:rPr>
        <w:t>审计监督、财政检查，不存在部门预算管理方面违纪违规问题。</w:t>
      </w:r>
    </w:p>
    <w:p w14:paraId="34A90D9A">
      <w:pPr>
        <w:pStyle w:val="4"/>
        <w:pageBreakBefore w:val="0"/>
        <w:wordWrap/>
        <w:overflowPunct/>
        <w:topLinePunct w:val="0"/>
        <w:bidi w:val="0"/>
        <w:spacing w:line="560" w:lineRule="exact"/>
        <w:rPr>
          <w:rFonts w:hint="eastAsia"/>
        </w:rPr>
      </w:pPr>
      <w:r>
        <w:rPr>
          <w:rFonts w:hint="eastAsia"/>
          <w:color w:val="000000" w:themeColor="text1"/>
          <w:highlight w:val="none"/>
          <w:lang w:val="en-US" w:eastAsia="zh-CN"/>
          <w14:textFill>
            <w14:solidFill>
              <w14:schemeClr w14:val="tx1"/>
            </w14:solidFill>
          </w14:textFill>
        </w:rPr>
        <w:t>综合上述分析，此项指标分值10分，实际得分10分。</w:t>
      </w:r>
    </w:p>
    <w:p w14:paraId="21419C56">
      <w:pPr>
        <w:pStyle w:val="4"/>
        <w:pageBreakBefore w:val="0"/>
        <w:widowControl w:val="0"/>
        <w:numPr>
          <w:ilvl w:val="-1"/>
          <w:numId w:val="0"/>
        </w:numPr>
        <w:kinsoku/>
        <w:wordWrap/>
        <w:overflowPunct/>
        <w:topLinePunct w:val="0"/>
        <w:autoSpaceDE/>
        <w:autoSpaceDN/>
        <w:bidi w:val="0"/>
        <w:spacing w:line="560" w:lineRule="exact"/>
        <w:ind w:left="0" w:leftChars="0" w:firstLine="643" w:firstLineChars="200"/>
        <w:textAlignment w:val="auto"/>
        <w:outlineLvl w:val="2"/>
        <w:rPr>
          <w:rFonts w:hint="default"/>
          <w:lang w:val="en-US" w:eastAsia="zh-CN"/>
        </w:rPr>
      </w:pPr>
      <w:r>
        <w:rPr>
          <w:rFonts w:hint="eastAsia" w:ascii="仿宋" w:hAnsi="仿宋" w:eastAsia="仿宋" w:cs="仿宋"/>
          <w:b/>
          <w:color w:val="auto"/>
          <w:kern w:val="2"/>
          <w:sz w:val="32"/>
          <w:szCs w:val="32"/>
          <w:lang w:val="en-US" w:eastAsia="zh-CN" w:bidi="ar-SA"/>
        </w:rPr>
        <w:t>2.绩效结果应用</w:t>
      </w:r>
    </w:p>
    <w:p w14:paraId="589276F3">
      <w:pPr>
        <w:pStyle w:val="4"/>
        <w:pageBreakBefore w:val="0"/>
        <w:widowControl w:val="0"/>
        <w:numPr>
          <w:ilvl w:val="0"/>
          <w:numId w:val="0"/>
        </w:numPr>
        <w:kinsoku/>
        <w:wordWrap/>
        <w:overflowPunct/>
        <w:topLinePunct w:val="0"/>
        <w:autoSpaceDE/>
        <w:autoSpaceDN/>
        <w:bidi w:val="0"/>
        <w:spacing w:line="560" w:lineRule="exact"/>
        <w:ind w:leftChars="200"/>
        <w:textAlignment w:val="auto"/>
        <w:outlineLvl w:val="2"/>
        <w:rPr>
          <w:rFonts w:hint="default"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（1）信息公开</w:t>
      </w:r>
    </w:p>
    <w:p w14:paraId="70D43FFC">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①自评公开</w:t>
      </w:r>
    </w:p>
    <w:p w14:paraId="412125BA">
      <w:pPr>
        <w:pStyle w:val="4"/>
        <w:pageBreakBefore w:val="0"/>
        <w:wordWrap/>
        <w:overflowPunct/>
        <w:topLinePunct w:val="0"/>
        <w:bidi w:val="0"/>
        <w:spacing w:line="560" w:lineRule="exact"/>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实验小学</w:t>
      </w:r>
      <w:r>
        <w:rPr>
          <w:color w:val="000000" w:themeColor="text1"/>
          <w:highlight w:val="none"/>
          <w14:textFill>
            <w14:solidFill>
              <w14:schemeClr w14:val="tx1"/>
            </w14:solidFill>
          </w14:textFill>
        </w:rPr>
        <w:t>20</w:t>
      </w:r>
      <w:r>
        <w:rPr>
          <w:rFonts w:hint="eastAsia"/>
          <w:color w:val="000000" w:themeColor="text1"/>
          <w:highlight w:val="none"/>
          <w:lang w:val="en-US" w:eastAsia="zh-CN"/>
          <w14:textFill>
            <w14:solidFill>
              <w14:schemeClr w14:val="tx1"/>
            </w14:solidFill>
          </w14:textFill>
        </w:rPr>
        <w:t>21</w:t>
      </w:r>
      <w:r>
        <w:rPr>
          <w:color w:val="000000" w:themeColor="text1"/>
          <w:highlight w:val="none"/>
          <w14:textFill>
            <w14:solidFill>
              <w14:schemeClr w14:val="tx1"/>
            </w14:solidFill>
          </w14:textFill>
        </w:rPr>
        <w:t>年预算编制说明和</w:t>
      </w:r>
      <w:r>
        <w:rPr>
          <w:rFonts w:hint="eastAsia"/>
          <w:color w:val="000000" w:themeColor="text1"/>
          <w:highlight w:val="none"/>
          <w14:textFill>
            <w14:solidFill>
              <w14:schemeClr w14:val="tx1"/>
            </w14:solidFill>
          </w14:textFill>
        </w:rPr>
        <w:t>附件</w:t>
      </w:r>
      <w:r>
        <w:rPr>
          <w:color w:val="000000" w:themeColor="text1"/>
          <w:highlight w:val="none"/>
          <w14:textFill>
            <w14:solidFill>
              <w14:schemeClr w14:val="tx1"/>
            </w14:solidFill>
          </w14:textFill>
        </w:rPr>
        <w:t>、20</w:t>
      </w:r>
      <w:r>
        <w:rPr>
          <w:rFonts w:hint="eastAsia"/>
          <w:color w:val="000000" w:themeColor="text1"/>
          <w:highlight w:val="none"/>
          <w:lang w:val="en-US" w:eastAsia="zh-CN"/>
          <w14:textFill>
            <w14:solidFill>
              <w14:schemeClr w14:val="tx1"/>
            </w14:solidFill>
          </w14:textFill>
        </w:rPr>
        <w:t>21</w:t>
      </w:r>
      <w:r>
        <w:rPr>
          <w:color w:val="000000" w:themeColor="text1"/>
          <w:highlight w:val="none"/>
          <w14:textFill>
            <w14:solidFill>
              <w14:schemeClr w14:val="tx1"/>
            </w14:solidFill>
          </w14:textFill>
        </w:rPr>
        <w:t>年决算公开编制说明和</w:t>
      </w:r>
      <w:r>
        <w:rPr>
          <w:rFonts w:hint="eastAsia"/>
          <w:color w:val="000000" w:themeColor="text1"/>
          <w:highlight w:val="none"/>
          <w14:textFill>
            <w14:solidFill>
              <w14:schemeClr w14:val="tx1"/>
            </w14:solidFill>
          </w14:textFill>
        </w:rPr>
        <w:t>附件</w:t>
      </w:r>
      <w:r>
        <w:rPr>
          <w:color w:val="000000" w:themeColor="text1"/>
          <w:highlight w:val="none"/>
          <w14:textFill>
            <w14:solidFill>
              <w14:schemeClr w14:val="tx1"/>
            </w14:solidFill>
          </w14:textFill>
        </w:rPr>
        <w:t>已按规定公开</w:t>
      </w:r>
      <w:r>
        <w:rPr>
          <w:rFonts w:hint="eastAsia"/>
          <w:color w:val="000000" w:themeColor="text1"/>
          <w:highlight w:val="none"/>
          <w14:textFill>
            <w14:solidFill>
              <w14:schemeClr w14:val="tx1"/>
            </w14:solidFill>
          </w14:textFill>
        </w:rPr>
        <w:t>于</w:t>
      </w:r>
      <w:r>
        <w:rPr>
          <w:rFonts w:hint="eastAsia"/>
          <w:color w:val="000000" w:themeColor="text1"/>
          <w:highlight w:val="none"/>
          <w:lang w:val="en-US" w:eastAsia="zh-CN"/>
          <w14:textFill>
            <w14:solidFill>
              <w14:schemeClr w14:val="tx1"/>
            </w14:solidFill>
          </w14:textFill>
        </w:rPr>
        <w:t>遂宁市河东新区管理委员会政府</w:t>
      </w:r>
      <w:r>
        <w:rPr>
          <w:rFonts w:hint="eastAsia"/>
          <w:color w:val="000000" w:themeColor="text1"/>
          <w:highlight w:val="none"/>
          <w14:textFill>
            <w14:solidFill>
              <w14:schemeClr w14:val="tx1"/>
            </w14:solidFill>
          </w14:textFill>
        </w:rPr>
        <w:t>信息公开网</w:t>
      </w:r>
      <w:r>
        <w:rPr>
          <w:color w:val="000000" w:themeColor="text1"/>
          <w:highlight w:val="none"/>
          <w14:textFill>
            <w14:solidFill>
              <w14:schemeClr w14:val="tx1"/>
            </w14:solidFill>
          </w14:textFill>
        </w:rPr>
        <w:t>，20</w:t>
      </w:r>
      <w:r>
        <w:rPr>
          <w:rFonts w:hint="eastAsia"/>
          <w:color w:val="000000" w:themeColor="text1"/>
          <w:highlight w:val="none"/>
          <w:lang w:val="en-US" w:eastAsia="zh-CN"/>
          <w14:textFill>
            <w14:solidFill>
              <w14:schemeClr w14:val="tx1"/>
            </w14:solidFill>
          </w14:textFill>
        </w:rPr>
        <w:t>20</w:t>
      </w:r>
      <w:r>
        <w:rPr>
          <w:color w:val="000000" w:themeColor="text1"/>
          <w:highlight w:val="none"/>
          <w14:textFill>
            <w14:solidFill>
              <w14:schemeClr w14:val="tx1"/>
            </w14:solidFill>
          </w14:textFill>
        </w:rPr>
        <w:t>年度整体支出绩效自评报告已随决算</w:t>
      </w:r>
      <w:r>
        <w:rPr>
          <w:rFonts w:hint="eastAsia"/>
          <w:color w:val="000000" w:themeColor="text1"/>
          <w:highlight w:val="none"/>
          <w:lang w:val="en-US"/>
          <w14:textFill>
            <w14:solidFill>
              <w14:schemeClr w14:val="tx1"/>
            </w14:solidFill>
          </w14:textFill>
        </w:rPr>
        <w:t>同时</w:t>
      </w:r>
      <w:r>
        <w:rPr>
          <w:color w:val="000000" w:themeColor="text1"/>
          <w:highlight w:val="none"/>
          <w14:textFill>
            <w14:solidFill>
              <w14:schemeClr w14:val="tx1"/>
            </w14:solidFill>
          </w14:textFill>
        </w:rPr>
        <w:t>公开，符合</w:t>
      </w:r>
      <w:r>
        <w:rPr>
          <w:rFonts w:hint="eastAsia"/>
          <w:color w:val="000000" w:themeColor="text1"/>
          <w:highlight w:val="none"/>
          <w14:textFill>
            <w14:solidFill>
              <w14:schemeClr w14:val="tx1"/>
            </w14:solidFill>
          </w14:textFill>
        </w:rPr>
        <w:t>信息公开</w:t>
      </w:r>
      <w:r>
        <w:rPr>
          <w:color w:val="000000" w:themeColor="text1"/>
          <w:highlight w:val="none"/>
          <w14:textFill>
            <w14:solidFill>
              <w14:schemeClr w14:val="tx1"/>
            </w14:solidFill>
          </w14:textFill>
        </w:rPr>
        <w:t>相关</w:t>
      </w:r>
      <w:r>
        <w:rPr>
          <w:rFonts w:hint="eastAsia"/>
          <w:color w:val="000000" w:themeColor="text1"/>
          <w:highlight w:val="none"/>
          <w:lang w:val="en-US"/>
          <w14:textFill>
            <w14:solidFill>
              <w14:schemeClr w14:val="tx1"/>
            </w14:solidFill>
          </w14:textFill>
        </w:rPr>
        <w:t>法律法规</w:t>
      </w:r>
      <w:r>
        <w:rPr>
          <w:color w:val="000000" w:themeColor="text1"/>
          <w:highlight w:val="none"/>
          <w14:textFill>
            <w14:solidFill>
              <w14:schemeClr w14:val="tx1"/>
            </w14:solidFill>
          </w14:textFill>
        </w:rPr>
        <w:t>规定。</w:t>
      </w:r>
    </w:p>
    <w:p w14:paraId="10B0A73F">
      <w:pPr>
        <w:pStyle w:val="4"/>
        <w:pageBreakBefore w:val="0"/>
        <w:wordWrap/>
        <w:overflowPunct/>
        <w:topLinePunct w:val="0"/>
        <w:bidi w:val="0"/>
        <w:spacing w:line="560" w:lineRule="exact"/>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综合上述分析，此项指标分值2分，实际得分2分。</w:t>
      </w:r>
    </w:p>
    <w:p w14:paraId="2B991602">
      <w:pPr>
        <w:pStyle w:val="4"/>
        <w:pageBreakBefore w:val="0"/>
        <w:widowControl w:val="0"/>
        <w:numPr>
          <w:ilvl w:val="0"/>
          <w:numId w:val="0"/>
        </w:numPr>
        <w:kinsoku/>
        <w:wordWrap/>
        <w:overflowPunct/>
        <w:topLinePunct w:val="0"/>
        <w:autoSpaceDE/>
        <w:autoSpaceDN/>
        <w:bidi w:val="0"/>
        <w:spacing w:line="560" w:lineRule="exact"/>
        <w:ind w:leftChars="200"/>
        <w:textAlignment w:val="auto"/>
        <w:outlineLvl w:val="2"/>
        <w:rPr>
          <w:rFonts w:hint="default"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（2）整改反馈</w:t>
      </w:r>
    </w:p>
    <w:p w14:paraId="6724CB0A">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①结果整改</w:t>
      </w:r>
    </w:p>
    <w:p w14:paraId="122A837A">
      <w:pPr>
        <w:pStyle w:val="4"/>
        <w:pageBreakBefore w:val="0"/>
        <w:widowControl w:val="0"/>
        <w:numPr>
          <w:ilvl w:val="0"/>
          <w:numId w:val="0"/>
        </w:numPr>
        <w:kinsoku/>
        <w:wordWrap/>
        <w:overflowPunct/>
        <w:topLinePunct w:val="0"/>
        <w:autoSpaceDE/>
        <w:autoSpaceDN/>
        <w:bidi w:val="0"/>
        <w:spacing w:line="560" w:lineRule="exact"/>
        <w:ind w:leftChars="0" w:firstLine="640" w:firstLineChars="200"/>
        <w:textAlignment w:val="auto"/>
        <w:outlineLvl w:val="9"/>
        <w:rPr>
          <w:rFonts w:hint="eastAsia"/>
          <w:highlight w:val="none"/>
          <w:lang w:val="en-US" w:eastAsia="zh-CN"/>
        </w:rPr>
      </w:pPr>
      <w:r>
        <w:rPr>
          <w:rFonts w:hint="eastAsia"/>
          <w:highlight w:val="none"/>
          <w:lang w:val="en-US" w:eastAsia="zh-CN"/>
        </w:rPr>
        <w:t>实验小学</w:t>
      </w:r>
      <w:r>
        <w:rPr>
          <w:rFonts w:hint="eastAsia"/>
          <w:highlight w:val="none"/>
          <w:lang w:val="en-US"/>
        </w:rPr>
        <w:t>针对绩效管理过程中（包括绩效目标核查、绩效监控核查和重点绩效评价）提出的问题进行了相应的整改，并将绩效管理结果用于完善政策、改进管理、预算挂钩等相关程序中</w:t>
      </w:r>
      <w:r>
        <w:rPr>
          <w:rFonts w:hint="eastAsia"/>
          <w:highlight w:val="none"/>
          <w:lang w:val="en-US" w:eastAsia="zh-CN"/>
        </w:rPr>
        <w:t>。</w:t>
      </w:r>
    </w:p>
    <w:p w14:paraId="5F381D1F">
      <w:pPr>
        <w:pStyle w:val="4"/>
        <w:pageBreakBefore w:val="0"/>
        <w:wordWrap/>
        <w:overflowPunct/>
        <w:topLinePunct w:val="0"/>
        <w:bidi w:val="0"/>
        <w:spacing w:line="560" w:lineRule="exact"/>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综合上述分析，此项指标分值4分，实际得分4分。</w:t>
      </w:r>
    </w:p>
    <w:p w14:paraId="1B32917D">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highlight w:val="none"/>
          <w:lang w:val="en-US" w:eastAsia="zh-CN"/>
        </w:rPr>
      </w:pPr>
      <w:r>
        <w:rPr>
          <w:rFonts w:hint="eastAsia" w:ascii="Times New Roman" w:hAnsi="Times New Roman" w:cs="Times New Roman"/>
          <w:b/>
          <w:bCs/>
          <w:color w:val="auto"/>
          <w:szCs w:val="32"/>
          <w:highlight w:val="none"/>
          <w:lang w:val="en-US" w:eastAsia="zh-CN"/>
        </w:rPr>
        <w:t>②应用反馈</w:t>
      </w:r>
    </w:p>
    <w:p w14:paraId="1409C475">
      <w:pPr>
        <w:pStyle w:val="4"/>
        <w:pageBreakBefore w:val="0"/>
        <w:wordWrap/>
        <w:overflowPunct/>
        <w:topLinePunct w:val="0"/>
        <w:bidi w:val="0"/>
        <w:spacing w:line="560" w:lineRule="exact"/>
        <w:rPr>
          <w:rFonts w:hint="eastAsia"/>
          <w:highlight w:val="none"/>
          <w:lang w:val="en-US" w:eastAsia="zh-CN"/>
        </w:rPr>
      </w:pPr>
      <w:r>
        <w:rPr>
          <w:rFonts w:hint="eastAsia"/>
          <w:highlight w:val="none"/>
          <w:lang w:val="en-US" w:eastAsia="zh-CN"/>
        </w:rPr>
        <w:t>实验小学</w:t>
      </w:r>
      <w:r>
        <w:rPr>
          <w:rFonts w:hint="eastAsia"/>
          <w:highlight w:val="none"/>
          <w:lang w:val="zh-CN"/>
        </w:rPr>
        <w:t>20</w:t>
      </w:r>
      <w:r>
        <w:rPr>
          <w:rFonts w:hint="eastAsia"/>
          <w:highlight w:val="none"/>
          <w:lang w:val="en-US" w:eastAsia="zh-CN"/>
        </w:rPr>
        <w:t>20</w:t>
      </w:r>
      <w:r>
        <w:rPr>
          <w:rFonts w:hint="eastAsia"/>
          <w:highlight w:val="none"/>
          <w:lang w:val="zh-CN"/>
        </w:rPr>
        <w:t>年</w:t>
      </w:r>
      <w:r>
        <w:rPr>
          <w:rFonts w:hint="eastAsia"/>
          <w:highlight w:val="none"/>
          <w:lang w:val="en-US" w:eastAsia="zh-CN"/>
        </w:rPr>
        <w:t>未开展</w:t>
      </w:r>
      <w:r>
        <w:rPr>
          <w:rFonts w:hint="eastAsia"/>
          <w:highlight w:val="none"/>
          <w:lang w:val="zh-CN"/>
        </w:rPr>
        <w:t>部门整体绩效</w:t>
      </w:r>
      <w:r>
        <w:rPr>
          <w:rFonts w:hint="eastAsia"/>
          <w:highlight w:val="none"/>
          <w:lang w:val="en-US" w:eastAsia="zh-CN"/>
        </w:rPr>
        <w:t>自评工作，该指标不适用。</w:t>
      </w:r>
    </w:p>
    <w:p w14:paraId="1692894E">
      <w:pPr>
        <w:pStyle w:val="4"/>
        <w:pageBreakBefore w:val="0"/>
        <w:widowControl w:val="0"/>
        <w:numPr>
          <w:ilvl w:val="-1"/>
          <w:numId w:val="0"/>
        </w:numPr>
        <w:kinsoku/>
        <w:wordWrap/>
        <w:overflowPunct/>
        <w:topLinePunct w:val="0"/>
        <w:autoSpaceDE/>
        <w:autoSpaceDN/>
        <w:bidi w:val="0"/>
        <w:spacing w:line="560" w:lineRule="exact"/>
        <w:ind w:left="0" w:leftChars="0" w:firstLine="643" w:firstLineChars="200"/>
        <w:textAlignment w:val="auto"/>
        <w:outlineLvl w:val="2"/>
        <w:rPr>
          <w:rFonts w:hint="default" w:ascii="仿宋" w:hAnsi="仿宋" w:eastAsia="仿宋" w:cs="仿宋"/>
          <w:b/>
          <w:color w:val="auto"/>
          <w:kern w:val="2"/>
          <w:sz w:val="32"/>
          <w:szCs w:val="32"/>
          <w:highlight w:val="none"/>
          <w:lang w:val="en-US" w:eastAsia="zh-CN" w:bidi="ar-SA"/>
        </w:rPr>
      </w:pPr>
      <w:r>
        <w:rPr>
          <w:rFonts w:hint="eastAsia" w:ascii="仿宋" w:hAnsi="仿宋" w:eastAsia="仿宋" w:cs="仿宋"/>
          <w:b/>
          <w:color w:val="auto"/>
          <w:kern w:val="2"/>
          <w:sz w:val="32"/>
          <w:szCs w:val="32"/>
          <w:highlight w:val="none"/>
          <w:lang w:val="en-US" w:eastAsia="zh-CN" w:bidi="ar-SA"/>
        </w:rPr>
        <w:t>3.自评质量</w:t>
      </w:r>
    </w:p>
    <w:p w14:paraId="1A907CE7">
      <w:pPr>
        <w:pStyle w:val="4"/>
        <w:pageBreakBefore w:val="0"/>
        <w:widowControl w:val="0"/>
        <w:numPr>
          <w:ilvl w:val="0"/>
          <w:numId w:val="0"/>
        </w:numPr>
        <w:kinsoku/>
        <w:wordWrap/>
        <w:overflowPunct/>
        <w:topLinePunct w:val="0"/>
        <w:autoSpaceDE/>
        <w:autoSpaceDN/>
        <w:bidi w:val="0"/>
        <w:spacing w:line="560" w:lineRule="exact"/>
        <w:ind w:leftChars="200"/>
        <w:textAlignment w:val="auto"/>
        <w:outlineLvl w:val="2"/>
        <w:rPr>
          <w:rFonts w:hint="default" w:ascii="仿宋" w:hAnsi="仿宋" w:eastAsia="仿宋" w:cs="仿宋"/>
          <w:b/>
          <w:color w:val="auto"/>
          <w:kern w:val="2"/>
          <w:sz w:val="32"/>
          <w:szCs w:val="32"/>
          <w:highlight w:val="none"/>
          <w:lang w:val="en-US" w:eastAsia="zh-CN" w:bidi="ar-SA"/>
        </w:rPr>
      </w:pPr>
      <w:r>
        <w:rPr>
          <w:rFonts w:hint="eastAsia" w:ascii="仿宋" w:hAnsi="仿宋" w:eastAsia="仿宋" w:cs="仿宋"/>
          <w:b/>
          <w:color w:val="auto"/>
          <w:kern w:val="2"/>
          <w:sz w:val="32"/>
          <w:szCs w:val="32"/>
          <w:highlight w:val="none"/>
          <w:lang w:val="en-US" w:eastAsia="zh-CN" w:bidi="ar-SA"/>
        </w:rPr>
        <w:t>（3）自评质量</w:t>
      </w:r>
    </w:p>
    <w:p w14:paraId="4DB73964">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highlight w:val="none"/>
          <w:lang w:val="en-US" w:eastAsia="zh-CN"/>
        </w:rPr>
      </w:pPr>
      <w:r>
        <w:rPr>
          <w:rFonts w:hint="eastAsia" w:ascii="Times New Roman" w:hAnsi="Times New Roman" w:cs="Times New Roman"/>
          <w:b/>
          <w:bCs/>
          <w:color w:val="auto"/>
          <w:szCs w:val="32"/>
          <w:highlight w:val="none"/>
          <w:lang w:val="en-US" w:eastAsia="zh-CN"/>
        </w:rPr>
        <w:t>①自评准确</w:t>
      </w:r>
    </w:p>
    <w:p w14:paraId="15394864">
      <w:pPr>
        <w:pStyle w:val="4"/>
        <w:pageBreakBefore w:val="0"/>
        <w:wordWrap/>
        <w:overflowPunct/>
        <w:topLinePunct w:val="0"/>
        <w:bidi w:val="0"/>
        <w:spacing w:line="560" w:lineRule="exact"/>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2021年</w:t>
      </w:r>
      <w:r>
        <w:rPr>
          <w:rFonts w:hint="eastAsia" w:cs="Times New Roman"/>
          <w:highlight w:val="none"/>
          <w:lang w:val="en-US" w:eastAsia="zh-CN"/>
        </w:rPr>
        <w:t>实验小学</w:t>
      </w:r>
      <w:r>
        <w:rPr>
          <w:rFonts w:hint="eastAsia" w:ascii="Times New Roman" w:hAnsi="Times New Roman" w:cs="Times New Roman"/>
          <w:highlight w:val="none"/>
          <w:lang w:val="en-US" w:eastAsia="zh-CN"/>
        </w:rPr>
        <w:t>自评为</w:t>
      </w:r>
      <w:r>
        <w:rPr>
          <w:rFonts w:hint="eastAsia" w:cs="Times New Roman"/>
          <w:highlight w:val="none"/>
          <w:lang w:val="en-US" w:eastAsia="zh-CN"/>
        </w:rPr>
        <w:t>66</w:t>
      </w:r>
      <w:r>
        <w:rPr>
          <w:rFonts w:hint="eastAsia" w:ascii="Times New Roman" w:hAnsi="Times New Roman" w:cs="Times New Roman"/>
          <w:highlight w:val="none"/>
          <w:lang w:val="en-US" w:eastAsia="zh-CN"/>
        </w:rPr>
        <w:t>分，评价组评分为</w:t>
      </w:r>
      <w:r>
        <w:rPr>
          <w:rFonts w:hint="eastAsia" w:cs="Times New Roman"/>
          <w:highlight w:val="none"/>
          <w:lang w:val="en-US" w:eastAsia="zh-CN"/>
        </w:rPr>
        <w:t>66.99</w:t>
      </w:r>
      <w:r>
        <w:rPr>
          <w:rFonts w:hint="eastAsia" w:ascii="Times New Roman" w:hAnsi="Times New Roman" w:cs="Times New Roman"/>
          <w:highlight w:val="none"/>
          <w:lang w:val="en-US" w:eastAsia="zh-CN"/>
        </w:rPr>
        <w:t>分，差异为</w:t>
      </w:r>
      <w:r>
        <w:rPr>
          <w:rFonts w:hint="eastAsia" w:cs="Times New Roman"/>
          <w:highlight w:val="none"/>
          <w:lang w:val="en-US" w:eastAsia="zh-CN"/>
        </w:rPr>
        <w:t>0.99</w:t>
      </w:r>
      <w:r>
        <w:rPr>
          <w:rFonts w:hint="eastAsia" w:ascii="Times New Roman" w:hAnsi="Times New Roman" w:cs="Times New Roman"/>
          <w:highlight w:val="none"/>
          <w:lang w:val="en-US" w:eastAsia="zh-CN"/>
        </w:rPr>
        <w:t>%，自评质量较好。</w:t>
      </w:r>
    </w:p>
    <w:p w14:paraId="586C7866">
      <w:pPr>
        <w:pStyle w:val="4"/>
        <w:pageBreakBefore w:val="0"/>
        <w:wordWrap/>
        <w:overflowPunct/>
        <w:topLinePunct w:val="0"/>
        <w:bidi w:val="0"/>
        <w:spacing w:line="560" w:lineRule="exact"/>
        <w:rPr>
          <w:rFonts w:hint="eastAsia" w:ascii="Times New Roman" w:hAnsi="Times New Roman" w:cs="Times New Roman"/>
          <w:highlight w:val="none"/>
          <w:lang w:val="en-US" w:eastAsia="zh-CN"/>
        </w:rPr>
      </w:pPr>
      <w:r>
        <w:rPr>
          <w:rFonts w:hint="eastAsia"/>
          <w:color w:val="000000" w:themeColor="text1"/>
          <w:highlight w:val="none"/>
          <w:lang w:val="en-US" w:eastAsia="zh-CN"/>
          <w14:textFill>
            <w14:solidFill>
              <w14:schemeClr w14:val="tx1"/>
            </w14:solidFill>
          </w14:textFill>
        </w:rPr>
        <w:t>综合上述分析，此项指标分值10分，实际得分10分。</w:t>
      </w:r>
    </w:p>
    <w:p w14:paraId="264BF5D3">
      <w:pPr>
        <w:pStyle w:val="3"/>
        <w:pageBreakBefore w:val="0"/>
        <w:numPr>
          <w:ilvl w:val="0"/>
          <w:numId w:val="0"/>
        </w:numPr>
        <w:kinsoku/>
        <w:wordWrap/>
        <w:overflowPunct/>
        <w:topLinePunct w:val="0"/>
        <w:autoSpaceDE/>
        <w:autoSpaceDN/>
        <w:bidi w:val="0"/>
        <w:spacing w:line="560" w:lineRule="exact"/>
        <w:ind w:left="0" w:leftChars="0" w:firstLine="640" w:firstLineChars="200"/>
        <w:outlineLvl w:val="0"/>
        <w:rPr>
          <w:rFonts w:hint="default"/>
          <w:color w:val="auto"/>
          <w:lang w:val="en-US"/>
        </w:rPr>
      </w:pPr>
      <w:bookmarkStart w:id="233" w:name="_Toc62481768"/>
      <w:bookmarkStart w:id="234" w:name="_Toc19773"/>
      <w:bookmarkStart w:id="235" w:name="_Toc15930"/>
      <w:bookmarkStart w:id="236" w:name="_Toc9970"/>
      <w:bookmarkStart w:id="237" w:name="_Toc13308"/>
      <w:bookmarkStart w:id="238" w:name="_Toc10303"/>
      <w:bookmarkStart w:id="239" w:name="_Toc25849"/>
      <w:r>
        <w:rPr>
          <w:rFonts w:hint="eastAsia"/>
          <w:color w:val="auto"/>
          <w:lang w:val="en-US" w:eastAsia="zh-CN"/>
        </w:rPr>
        <w:t>七、</w:t>
      </w:r>
      <w:r>
        <w:rPr>
          <w:rFonts w:hint="eastAsia"/>
          <w:color w:val="auto"/>
        </w:rPr>
        <w:t>存在问题</w:t>
      </w:r>
      <w:bookmarkEnd w:id="233"/>
      <w:r>
        <w:rPr>
          <w:rFonts w:hint="eastAsia"/>
          <w:color w:val="auto"/>
          <w:lang w:val="en-US" w:eastAsia="zh-CN"/>
        </w:rPr>
        <w:t>及</w:t>
      </w:r>
      <w:bookmarkEnd w:id="234"/>
      <w:r>
        <w:rPr>
          <w:rFonts w:hint="eastAsia"/>
          <w:color w:val="auto"/>
          <w:lang w:val="en-US" w:eastAsia="zh-CN"/>
        </w:rPr>
        <w:t>改进措施</w:t>
      </w:r>
      <w:bookmarkEnd w:id="235"/>
      <w:bookmarkEnd w:id="236"/>
      <w:bookmarkEnd w:id="237"/>
      <w:bookmarkEnd w:id="238"/>
      <w:bookmarkEnd w:id="239"/>
    </w:p>
    <w:p w14:paraId="5391A74C">
      <w:pPr>
        <w:pStyle w:val="4"/>
        <w:pageBreakBefore w:val="0"/>
        <w:widowControl w:val="0"/>
        <w:kinsoku/>
        <w:wordWrap/>
        <w:overflowPunct/>
        <w:topLinePunct w:val="0"/>
        <w:autoSpaceDE/>
        <w:autoSpaceDN/>
        <w:bidi w:val="0"/>
        <w:spacing w:line="560" w:lineRule="exact"/>
        <w:ind w:left="0" w:leftChars="0" w:firstLine="643" w:firstLineChars="200"/>
        <w:textAlignment w:val="auto"/>
        <w:outlineLvl w:val="1"/>
        <w:rPr>
          <w:rFonts w:hint="default" w:ascii="Times New Roman" w:hAnsi="Times New Roman" w:cs="Times New Roman"/>
          <w:highlight w:val="none"/>
          <w:lang w:val="en-US" w:eastAsia="zh-CN"/>
        </w:rPr>
      </w:pPr>
      <w:bookmarkStart w:id="240" w:name="_Toc13191"/>
      <w:bookmarkStart w:id="241" w:name="_Toc5474"/>
      <w:bookmarkStart w:id="242" w:name="_Toc26784"/>
      <w:bookmarkStart w:id="243" w:name="_Toc23699"/>
      <w:r>
        <w:rPr>
          <w:rFonts w:hint="eastAsia" w:ascii="楷体" w:hAnsi="楷体" w:eastAsia="楷体" w:cs="楷体"/>
          <w:b/>
          <w:bCs/>
          <w:color w:val="auto"/>
          <w:lang w:val="en-US" w:eastAsia="zh-CN"/>
        </w:rPr>
        <w:t>（一）存在问题及原因分析</w:t>
      </w:r>
      <w:bookmarkEnd w:id="240"/>
      <w:bookmarkEnd w:id="241"/>
      <w:bookmarkEnd w:id="242"/>
      <w:bookmarkEnd w:id="243"/>
    </w:p>
    <w:bookmarkEnd w:id="231"/>
    <w:bookmarkEnd w:id="232"/>
    <w:p w14:paraId="05DE5B68">
      <w:pPr>
        <w:pStyle w:val="4"/>
        <w:pageBreakBefore w:val="0"/>
        <w:widowControl w:val="0"/>
        <w:numPr>
          <w:ilvl w:val="-1"/>
          <w:numId w:val="0"/>
        </w:numPr>
        <w:kinsoku/>
        <w:wordWrap/>
        <w:overflowPunct/>
        <w:topLinePunct w:val="0"/>
        <w:autoSpaceDE/>
        <w:autoSpaceDN/>
        <w:bidi w:val="0"/>
        <w:spacing w:line="560" w:lineRule="exact"/>
        <w:ind w:left="0" w:leftChars="0" w:firstLine="643" w:firstLineChars="200"/>
        <w:textAlignment w:val="auto"/>
        <w:outlineLvl w:val="2"/>
        <w:rPr>
          <w:rFonts w:hint="eastAsia" w:ascii="仿宋" w:hAnsi="仿宋" w:eastAsia="仿宋" w:cs="仿宋"/>
          <w:b/>
          <w:color w:val="auto"/>
          <w:kern w:val="2"/>
          <w:sz w:val="32"/>
          <w:szCs w:val="32"/>
          <w:lang w:val="en-US" w:eastAsia="zh-CN" w:bidi="ar-SA"/>
        </w:rPr>
      </w:pPr>
      <w:bookmarkStart w:id="244" w:name="_Toc13478"/>
      <w:bookmarkStart w:id="245" w:name="_Toc20567"/>
      <w:bookmarkStart w:id="246" w:name="_Toc1121"/>
      <w:bookmarkStart w:id="247" w:name="_Toc62481769"/>
      <w:bookmarkStart w:id="248" w:name="_Toc980"/>
      <w:r>
        <w:rPr>
          <w:rFonts w:hint="eastAsia" w:ascii="仿宋" w:hAnsi="仿宋" w:eastAsia="仿宋" w:cs="仿宋"/>
          <w:b/>
          <w:color w:val="auto"/>
          <w:kern w:val="2"/>
          <w:sz w:val="32"/>
          <w:szCs w:val="32"/>
          <w:lang w:val="en-US" w:eastAsia="zh-CN" w:bidi="ar-SA"/>
        </w:rPr>
        <w:t>1.部门经费收支调整偏差控制情况欠佳</w:t>
      </w:r>
    </w:p>
    <w:p w14:paraId="0B44E28E">
      <w:pPr>
        <w:pStyle w:val="4"/>
        <w:pageBreakBefore w:val="0"/>
        <w:wordWrap/>
        <w:overflowPunct/>
        <w:topLinePunct w:val="0"/>
        <w:bidi w:val="0"/>
        <w:spacing w:line="560" w:lineRule="exact"/>
        <w:rPr>
          <w:rFonts w:hint="eastAsia"/>
          <w:color w:val="000000" w:themeColor="text1"/>
          <w:highlight w:val="none"/>
          <w:lang w:val="en-US" w:eastAsia="zh-CN"/>
          <w14:textFill>
            <w14:solidFill>
              <w14:schemeClr w14:val="tx1"/>
            </w14:solidFill>
          </w14:textFill>
        </w:rPr>
      </w:pPr>
      <w:r>
        <w:rPr>
          <w:rFonts w:hint="eastAsia"/>
          <w:lang w:val="en-US" w:eastAsia="zh-CN"/>
        </w:rPr>
        <w:t>经评价组核查，</w:t>
      </w:r>
      <w:r>
        <w:rPr>
          <w:rFonts w:hint="eastAsia"/>
          <w:lang w:val="en-US"/>
        </w:rPr>
        <w:t>202</w:t>
      </w:r>
      <w:r>
        <w:rPr>
          <w:rFonts w:hint="eastAsia"/>
          <w:lang w:val="en-US" w:eastAsia="zh-CN"/>
        </w:rPr>
        <w:t>1</w:t>
      </w:r>
      <w:r>
        <w:rPr>
          <w:rFonts w:hint="eastAsia"/>
          <w:lang w:val="en-US"/>
        </w:rPr>
        <w:t>年</w:t>
      </w:r>
      <w:r>
        <w:rPr>
          <w:rFonts w:hint="eastAsia"/>
          <w:lang w:val="en-US" w:eastAsia="zh-CN"/>
        </w:rPr>
        <w:t>实验小学</w:t>
      </w:r>
      <w:r>
        <w:rPr>
          <w:rFonts w:hint="eastAsia"/>
          <w:color w:val="000000" w:themeColor="text1"/>
          <w:highlight w:val="none"/>
          <w:lang w:val="en-US"/>
          <w14:textFill>
            <w14:solidFill>
              <w14:schemeClr w14:val="tx1"/>
            </w14:solidFill>
          </w14:textFill>
        </w:rPr>
        <w:t>日常公用经费及项目支出中“办公费、印刷费、水费、电费、物业管理费”等科目年初预算数为</w:t>
      </w:r>
      <w:r>
        <w:rPr>
          <w:rFonts w:hint="eastAsia"/>
          <w:color w:val="000000" w:themeColor="text1"/>
          <w:highlight w:val="none"/>
          <w:lang w:val="en-US" w:eastAsia="zh-CN"/>
          <w14:textFill>
            <w14:solidFill>
              <w14:schemeClr w14:val="tx1"/>
            </w14:solidFill>
          </w14:textFill>
        </w:rPr>
        <w:t>125.13</w:t>
      </w:r>
      <w:r>
        <w:rPr>
          <w:rFonts w:hint="eastAsia"/>
          <w:color w:val="000000" w:themeColor="text1"/>
          <w:highlight w:val="none"/>
          <w:lang w:val="en-US"/>
          <w14:textFill>
            <w14:solidFill>
              <w14:schemeClr w14:val="tx1"/>
            </w14:solidFill>
          </w14:textFill>
        </w:rPr>
        <w:t>万元，决算数为</w:t>
      </w:r>
      <w:r>
        <w:rPr>
          <w:rFonts w:hint="eastAsia"/>
          <w:color w:val="000000" w:themeColor="text1"/>
          <w:highlight w:val="none"/>
          <w:lang w:val="en-US" w:eastAsia="zh-CN"/>
          <w14:textFill>
            <w14:solidFill>
              <w14:schemeClr w14:val="tx1"/>
            </w14:solidFill>
          </w14:textFill>
        </w:rPr>
        <w:t>320.87</w:t>
      </w:r>
      <w:r>
        <w:rPr>
          <w:rFonts w:hint="eastAsia"/>
          <w:color w:val="000000" w:themeColor="text1"/>
          <w:highlight w:val="none"/>
          <w:lang w:val="en-US"/>
          <w14:textFill>
            <w14:solidFill>
              <w14:schemeClr w14:val="tx1"/>
            </w14:solidFill>
          </w14:textFill>
        </w:rPr>
        <w:t>万元，预决算偏差程度为</w:t>
      </w:r>
      <w:r>
        <w:rPr>
          <w:rFonts w:hint="eastAsia"/>
          <w:color w:val="000000" w:themeColor="text1"/>
          <w:highlight w:val="none"/>
          <w:lang w:val="en-US" w:eastAsia="zh-CN"/>
          <w14:textFill>
            <w14:solidFill>
              <w14:schemeClr w14:val="tx1"/>
            </w14:solidFill>
          </w14:textFill>
        </w:rPr>
        <w:t>156.42</w:t>
      </w:r>
      <w:r>
        <w:rPr>
          <w:rFonts w:hint="eastAsia"/>
          <w:color w:val="000000" w:themeColor="text1"/>
          <w:highlight w:val="none"/>
          <w:lang w:val="en-US"/>
          <w14:textFill>
            <w14:solidFill>
              <w14:schemeClr w14:val="tx1"/>
            </w14:solidFill>
          </w14:textFill>
        </w:rPr>
        <w:t>%，偏差程度</w:t>
      </w:r>
      <w:r>
        <w:rPr>
          <w:rFonts w:hint="eastAsia"/>
          <w:color w:val="000000" w:themeColor="text1"/>
          <w:highlight w:val="none"/>
          <w:lang w:val="en-US" w:eastAsia="zh-CN"/>
          <w14:textFill>
            <w14:solidFill>
              <w14:schemeClr w14:val="tx1"/>
            </w14:solidFill>
          </w14:textFill>
        </w:rPr>
        <w:t>超过20%，</w:t>
      </w:r>
      <w:r>
        <w:rPr>
          <w:rFonts w:hint="eastAsia"/>
          <w:lang w:val="en-US"/>
        </w:rPr>
        <w:t>公用经费支出控制</w:t>
      </w:r>
      <w:r>
        <w:rPr>
          <w:rFonts w:hint="eastAsia"/>
          <w:lang w:val="en-US" w:eastAsia="zh-CN"/>
        </w:rPr>
        <w:t>有待加强</w:t>
      </w:r>
      <w:r>
        <w:rPr>
          <w:rFonts w:hint="eastAsia"/>
          <w:lang w:val="en-US"/>
        </w:rPr>
        <w:t>。</w:t>
      </w:r>
    </w:p>
    <w:p w14:paraId="5A2CCDA3">
      <w:pPr>
        <w:pStyle w:val="4"/>
        <w:pageBreakBefore w:val="0"/>
        <w:wordWrap/>
        <w:overflowPunct/>
        <w:topLinePunct w:val="0"/>
        <w:bidi w:val="0"/>
        <w:spacing w:line="560" w:lineRule="exact"/>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14:textFill>
            <w14:solidFill>
              <w14:schemeClr w14:val="tx1"/>
            </w14:solidFill>
          </w14:textFill>
        </w:rPr>
        <w:t>单位202</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lang w:val="en-US"/>
          <w14:textFill>
            <w14:solidFill>
              <w14:schemeClr w14:val="tx1"/>
            </w14:solidFill>
          </w14:textFill>
        </w:rPr>
        <w:t>年预算数为</w:t>
      </w:r>
      <w:r>
        <w:rPr>
          <w:rFonts w:hint="eastAsia"/>
          <w:color w:val="auto"/>
          <w:szCs w:val="32"/>
          <w:lang w:val="en-US" w:eastAsia="zh-CN"/>
        </w:rPr>
        <w:t>2192.54</w:t>
      </w:r>
      <w:r>
        <w:rPr>
          <w:rFonts w:hint="eastAsia"/>
          <w:color w:val="000000" w:themeColor="text1"/>
          <w:highlight w:val="none"/>
          <w:lang w:val="en-US"/>
          <w14:textFill>
            <w14:solidFill>
              <w14:schemeClr w14:val="tx1"/>
            </w14:solidFill>
          </w14:textFill>
        </w:rPr>
        <w:t>万元，</w:t>
      </w:r>
      <w:r>
        <w:rPr>
          <w:rFonts w:hint="eastAsia"/>
          <w:color w:val="000000" w:themeColor="text1"/>
          <w:highlight w:val="none"/>
          <w:lang w:val="en-US" w:eastAsia="zh-CN"/>
          <w14:textFill>
            <w14:solidFill>
              <w14:schemeClr w14:val="tx1"/>
            </w14:solidFill>
          </w14:textFill>
        </w:rPr>
        <w:t>调整预算为</w:t>
      </w:r>
      <w:r>
        <w:rPr>
          <w:rFonts w:hint="eastAsia"/>
          <w:color w:val="auto"/>
          <w:szCs w:val="32"/>
          <w:lang w:val="en-US" w:eastAsia="zh-CN"/>
        </w:rPr>
        <w:t>2473.58</w:t>
      </w:r>
      <w:r>
        <w:rPr>
          <w:rFonts w:hint="eastAsia"/>
          <w:color w:val="000000" w:themeColor="text1"/>
          <w:highlight w:val="none"/>
          <w:lang w:val="en-US" w:eastAsia="zh-CN"/>
          <w14:textFill>
            <w14:solidFill>
              <w14:schemeClr w14:val="tx1"/>
            </w14:solidFill>
          </w14:textFill>
        </w:rPr>
        <w:t>万元，偏差程度为12.18%，偏差率较大，预算编制不准确。</w:t>
      </w:r>
    </w:p>
    <w:p w14:paraId="70541331">
      <w:pPr>
        <w:pStyle w:val="4"/>
        <w:pageBreakBefore w:val="0"/>
        <w:widowControl w:val="0"/>
        <w:numPr>
          <w:ilvl w:val="-1"/>
          <w:numId w:val="0"/>
        </w:numPr>
        <w:kinsoku/>
        <w:wordWrap/>
        <w:overflowPunct/>
        <w:topLinePunct w:val="0"/>
        <w:autoSpaceDE/>
        <w:autoSpaceDN/>
        <w:bidi w:val="0"/>
        <w:spacing w:line="560" w:lineRule="exact"/>
        <w:ind w:left="0" w:leftChars="0" w:firstLine="643" w:firstLineChars="200"/>
        <w:textAlignment w:val="auto"/>
        <w:outlineLvl w:val="2"/>
        <w:rPr>
          <w:rFonts w:hint="eastAsia"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2.部门会计账务处理工作有待加强</w:t>
      </w:r>
    </w:p>
    <w:p w14:paraId="734E43FB">
      <w:pPr>
        <w:pStyle w:val="4"/>
        <w:pageBreakBefore w:val="0"/>
        <w:wordWrap/>
        <w:overflowPunct/>
        <w:topLinePunct w:val="0"/>
        <w:bidi w:val="0"/>
        <w:spacing w:line="560" w:lineRule="exact"/>
        <w:rPr>
          <w:rFonts w:hint="eastAsia" w:ascii="Times New Roman" w:hAnsi="Times New Roman" w:cs="Times New Roman"/>
          <w:color w:val="000000" w:themeColor="text1"/>
          <w:highlight w:val="none"/>
          <w:lang w:val="en-US" w:eastAsia="zh-CN"/>
          <w14:textFill>
            <w14:solidFill>
              <w14:schemeClr w14:val="tx1"/>
            </w14:solidFill>
          </w14:textFill>
        </w:rPr>
      </w:pPr>
      <w:r>
        <w:rPr>
          <w:rFonts w:hint="eastAsia" w:ascii="Times New Roman" w:hAnsi="Times New Roman" w:cs="Times New Roman"/>
          <w:color w:val="000000" w:themeColor="text1"/>
          <w:highlight w:val="none"/>
          <w:lang w:val="en-US" w:eastAsia="zh-CN"/>
          <w14:textFill>
            <w14:solidFill>
              <w14:schemeClr w14:val="tx1"/>
            </w14:solidFill>
          </w14:textFill>
        </w:rPr>
        <w:t>（1）2021年7月和8月混同做账，8月份的单据全部计入了7月；</w:t>
      </w:r>
    </w:p>
    <w:p w14:paraId="5CB58E2A">
      <w:pPr>
        <w:pStyle w:val="4"/>
        <w:pageBreakBefore w:val="0"/>
        <w:numPr>
          <w:ilvl w:val="0"/>
          <w:numId w:val="4"/>
        </w:numPr>
        <w:wordWrap/>
        <w:overflowPunct/>
        <w:topLinePunct w:val="0"/>
        <w:bidi w:val="0"/>
        <w:spacing w:line="560" w:lineRule="exact"/>
        <w:ind w:left="-10" w:leftChars="0" w:firstLineChars="0"/>
        <w:rPr>
          <w:rFonts w:hint="eastAsia" w:ascii="Times New Roman" w:hAnsi="Times New Roman" w:cs="Times New Roman"/>
          <w:color w:val="000000" w:themeColor="text1"/>
          <w:highlight w:val="none"/>
          <w:lang w:val="en-US" w:eastAsia="zh-CN"/>
          <w14:textFill>
            <w14:solidFill>
              <w14:schemeClr w14:val="tx1"/>
            </w14:solidFill>
          </w14:textFill>
        </w:rPr>
      </w:pPr>
      <w:r>
        <w:rPr>
          <w:rFonts w:hint="eastAsia" w:ascii="Times New Roman" w:hAnsi="Times New Roman" w:cs="Times New Roman"/>
          <w:color w:val="000000" w:themeColor="text1"/>
          <w:highlight w:val="none"/>
          <w:lang w:val="en-US" w:eastAsia="zh-CN"/>
          <w14:textFill>
            <w14:solidFill>
              <w14:schemeClr w14:val="tx1"/>
            </w14:solidFill>
          </w14:textFill>
        </w:rPr>
        <w:t>单位开展美术工作坊修建工作，工作方案于5月24日确定，修建艺术工作坊合同签订时间为2021年5月18日，时间前置；方案明确撤展时间为5月27日，但实际修建艺术工作坊</w:t>
      </w:r>
      <w:r>
        <w:rPr>
          <w:rFonts w:hint="eastAsia" w:cs="Times New Roman"/>
          <w:color w:val="000000" w:themeColor="text1"/>
          <w:highlight w:val="none"/>
          <w:lang w:val="en-US" w:eastAsia="zh-CN"/>
          <w14:textFill>
            <w14:solidFill>
              <w14:schemeClr w14:val="tx1"/>
            </w14:solidFill>
          </w14:textFill>
        </w:rPr>
        <w:t>布展</w:t>
      </w:r>
      <w:r>
        <w:rPr>
          <w:rFonts w:hint="eastAsia" w:ascii="Times New Roman" w:hAnsi="Times New Roman" w:cs="Times New Roman"/>
          <w:color w:val="000000" w:themeColor="text1"/>
          <w:highlight w:val="none"/>
          <w:lang w:val="en-US" w:eastAsia="zh-CN"/>
          <w14:textFill>
            <w14:solidFill>
              <w14:schemeClr w14:val="tx1"/>
            </w14:solidFill>
          </w14:textFill>
        </w:rPr>
        <w:t>完成验收时间为2021年5月31日。涉及金额1,5617.40元，涉及凭证为2021年6月第3号；</w:t>
      </w:r>
    </w:p>
    <w:p w14:paraId="70183C6C">
      <w:pPr>
        <w:pStyle w:val="4"/>
        <w:pageBreakBefore w:val="0"/>
        <w:numPr>
          <w:ilvl w:val="0"/>
          <w:numId w:val="4"/>
        </w:numPr>
        <w:wordWrap/>
        <w:overflowPunct/>
        <w:topLinePunct w:val="0"/>
        <w:bidi w:val="0"/>
        <w:spacing w:line="560" w:lineRule="exact"/>
        <w:ind w:left="-10" w:leftChars="0" w:firstLineChars="0"/>
        <w:rPr>
          <w:rFonts w:hint="eastAsia" w:ascii="Times New Roman" w:hAnsi="Times New Roman" w:cs="Times New Roman"/>
          <w:color w:val="000000" w:themeColor="text1"/>
          <w:highlight w:val="none"/>
          <w:lang w:val="en-US" w:eastAsia="zh-CN"/>
          <w14:textFill>
            <w14:solidFill>
              <w14:schemeClr w14:val="tx1"/>
            </w14:solidFill>
          </w14:textFill>
        </w:rPr>
      </w:pPr>
      <w:r>
        <w:rPr>
          <w:rFonts w:hint="eastAsia" w:ascii="Times New Roman" w:hAnsi="Times New Roman" w:cs="Times New Roman"/>
          <w:color w:val="000000" w:themeColor="text1"/>
          <w:highlight w:val="none"/>
          <w:lang w:val="en-US" w:eastAsia="zh-CN"/>
          <w14:textFill>
            <w14:solidFill>
              <w14:schemeClr w14:val="tx1"/>
            </w14:solidFill>
          </w14:textFill>
        </w:rPr>
        <w:t>单位于2021年6月28日付购买书籍一套费用，</w:t>
      </w:r>
      <w:r>
        <w:rPr>
          <w:rFonts w:hint="eastAsia" w:cs="Times New Roman"/>
          <w:color w:val="000000" w:themeColor="text1"/>
          <w:highlight w:val="none"/>
          <w:lang w:val="en-US" w:eastAsia="zh-CN"/>
          <w14:textFill>
            <w14:solidFill>
              <w14:schemeClr w14:val="tx1"/>
            </w14:solidFill>
          </w14:textFill>
        </w:rPr>
        <w:t>但</w:t>
      </w:r>
      <w:r>
        <w:rPr>
          <w:rFonts w:hint="eastAsia" w:ascii="Times New Roman" w:hAnsi="Times New Roman" w:cs="Times New Roman"/>
          <w:color w:val="000000" w:themeColor="text1"/>
          <w:highlight w:val="none"/>
          <w:lang w:val="en-US" w:eastAsia="zh-CN"/>
          <w14:textFill>
            <w14:solidFill>
              <w14:schemeClr w14:val="tx1"/>
            </w14:solidFill>
          </w14:textFill>
        </w:rPr>
        <w:t>开票时间为10月19日。涉及金额260.00元，涉及凭证为2021年6月第48号；</w:t>
      </w:r>
    </w:p>
    <w:p w14:paraId="3FE4DCBC">
      <w:pPr>
        <w:pStyle w:val="4"/>
        <w:pageBreakBefore w:val="0"/>
        <w:widowControl w:val="0"/>
        <w:kinsoku/>
        <w:wordWrap/>
        <w:overflowPunct/>
        <w:topLinePunct w:val="0"/>
        <w:autoSpaceDE/>
        <w:autoSpaceDN/>
        <w:bidi w:val="0"/>
        <w:spacing w:line="560" w:lineRule="exact"/>
        <w:ind w:left="0" w:leftChars="0" w:firstLine="643" w:firstLineChars="200"/>
        <w:textAlignment w:val="auto"/>
        <w:outlineLvl w:val="1"/>
        <w:rPr>
          <w:rFonts w:hint="eastAsia" w:ascii="楷体" w:hAnsi="楷体" w:eastAsia="楷体" w:cs="楷体"/>
          <w:b/>
          <w:bCs/>
          <w:color w:val="auto"/>
          <w:lang w:val="en-US" w:eastAsia="zh-CN"/>
        </w:rPr>
      </w:pPr>
      <w:bookmarkStart w:id="249" w:name="_Toc602"/>
      <w:r>
        <w:rPr>
          <w:rFonts w:hint="eastAsia" w:ascii="楷体" w:hAnsi="楷体" w:eastAsia="楷体" w:cs="楷体"/>
          <w:b/>
          <w:bCs/>
          <w:color w:val="auto"/>
          <w:lang w:eastAsia="zh-CN"/>
        </w:rPr>
        <w:t>（</w:t>
      </w:r>
      <w:r>
        <w:rPr>
          <w:rFonts w:hint="eastAsia" w:ascii="楷体" w:hAnsi="楷体" w:eastAsia="楷体" w:cs="楷体"/>
          <w:b/>
          <w:bCs/>
          <w:color w:val="auto"/>
          <w:lang w:val="en-US" w:eastAsia="zh-CN"/>
        </w:rPr>
        <w:t>二</w:t>
      </w:r>
      <w:r>
        <w:rPr>
          <w:rFonts w:hint="eastAsia" w:ascii="楷体" w:hAnsi="楷体" w:eastAsia="楷体" w:cs="楷体"/>
          <w:b/>
          <w:bCs/>
          <w:color w:val="auto"/>
          <w:lang w:eastAsia="zh-CN"/>
        </w:rPr>
        <w:t>）</w:t>
      </w:r>
      <w:r>
        <w:rPr>
          <w:rFonts w:hint="eastAsia" w:ascii="楷体" w:hAnsi="楷体" w:eastAsia="楷体" w:cs="楷体"/>
          <w:b/>
          <w:bCs/>
          <w:color w:val="auto"/>
          <w:lang w:val="en-US" w:eastAsia="zh-CN"/>
        </w:rPr>
        <w:t>改进方向和具体措施</w:t>
      </w:r>
      <w:bookmarkEnd w:id="244"/>
      <w:bookmarkEnd w:id="245"/>
      <w:bookmarkEnd w:id="246"/>
      <w:bookmarkEnd w:id="249"/>
    </w:p>
    <w:bookmarkEnd w:id="247"/>
    <w:bookmarkEnd w:id="248"/>
    <w:p w14:paraId="30F9381E">
      <w:pPr>
        <w:pageBreakBefore w:val="0"/>
        <w:kinsoku/>
        <w:wordWrap/>
        <w:overflowPunct/>
        <w:topLinePunct w:val="0"/>
        <w:autoSpaceDE/>
        <w:autoSpaceDN/>
        <w:bidi w:val="0"/>
        <w:adjustRightInd w:val="0"/>
        <w:snapToGrid/>
        <w:spacing w:line="560" w:lineRule="exact"/>
        <w:ind w:firstLine="643" w:firstLineChars="200"/>
        <w:outlineLvl w:val="2"/>
        <w:rPr>
          <w:rFonts w:hint="eastAsia" w:ascii="仿宋" w:hAnsi="仿宋" w:eastAsia="仿宋" w:cs="仿宋"/>
          <w:b/>
          <w:color w:val="auto"/>
          <w:sz w:val="32"/>
          <w:szCs w:val="32"/>
          <w:lang w:val="en-US" w:eastAsia="zh-CN"/>
        </w:rPr>
      </w:pPr>
      <w:bookmarkStart w:id="250" w:name="_Toc29091"/>
      <w:r>
        <w:rPr>
          <w:rFonts w:hint="eastAsia" w:ascii="仿宋" w:hAnsi="仿宋" w:eastAsia="仿宋" w:cs="仿宋"/>
          <w:b/>
          <w:color w:val="auto"/>
          <w:sz w:val="32"/>
          <w:szCs w:val="32"/>
          <w:lang w:val="en-US" w:eastAsia="zh-CN"/>
        </w:rPr>
        <w:t>1.</w:t>
      </w:r>
      <w:bookmarkEnd w:id="250"/>
      <w:r>
        <w:rPr>
          <w:rFonts w:hint="eastAsia" w:ascii="仿宋" w:hAnsi="仿宋" w:eastAsia="仿宋" w:cs="仿宋"/>
          <w:b/>
          <w:color w:val="auto"/>
          <w:sz w:val="32"/>
          <w:szCs w:val="32"/>
          <w:lang w:val="en-US" w:eastAsia="zh-CN"/>
        </w:rPr>
        <w:t>科学测算部门预算经费，加强部门经费收支偏差控制</w:t>
      </w:r>
    </w:p>
    <w:p w14:paraId="29192BCC">
      <w:pPr>
        <w:pStyle w:val="4"/>
        <w:pageBreakBefore w:val="0"/>
        <w:widowControl w:val="0"/>
        <w:kinsoku/>
        <w:wordWrap/>
        <w:overflowPunct/>
        <w:topLinePunct w:val="0"/>
        <w:autoSpaceDE/>
        <w:autoSpaceDN/>
        <w:bidi w:val="0"/>
        <w:spacing w:line="560" w:lineRule="exact"/>
        <w:ind w:firstLine="640" w:firstLineChars="200"/>
        <w:textAlignment w:val="auto"/>
        <w:rPr>
          <w:rFonts w:hint="eastAsia"/>
          <w:color w:val="auto"/>
          <w:lang w:val="en-US" w:eastAsia="zh-CN"/>
        </w:rPr>
      </w:pPr>
      <w:r>
        <w:rPr>
          <w:rFonts w:hint="eastAsia"/>
          <w:color w:val="auto"/>
        </w:rPr>
        <w:t>建议</w:t>
      </w:r>
      <w:r>
        <w:rPr>
          <w:rFonts w:hint="eastAsia"/>
          <w:color w:val="auto"/>
          <w:lang w:val="en-US" w:eastAsia="zh-CN"/>
        </w:rPr>
        <w:t>实验小学预算部门在下一年编制项目预算时，除参考上一年支出明细，应全面考虑编制的预算明细按，以免预算中子项目不发生支出或支出过高的情况，合理测算当年度资金的实际需要总额，切实提高财政预算编制合理性。</w:t>
      </w:r>
    </w:p>
    <w:p w14:paraId="68537EA1">
      <w:pPr>
        <w:pageBreakBefore w:val="0"/>
        <w:kinsoku/>
        <w:wordWrap/>
        <w:overflowPunct/>
        <w:topLinePunct w:val="0"/>
        <w:autoSpaceDE/>
        <w:autoSpaceDN/>
        <w:bidi w:val="0"/>
        <w:adjustRightInd w:val="0"/>
        <w:snapToGrid/>
        <w:spacing w:line="560" w:lineRule="exact"/>
        <w:ind w:firstLine="643" w:firstLineChars="200"/>
        <w:outlineLvl w:val="2"/>
        <w:rPr>
          <w:rFonts w:hint="default" w:ascii="仿宋" w:hAnsi="仿宋" w:eastAsia="仿宋" w:cs="仿宋"/>
          <w:b/>
          <w:color w:val="auto"/>
          <w:sz w:val="32"/>
          <w:szCs w:val="32"/>
          <w:lang w:val="en-US" w:eastAsia="zh-CN"/>
        </w:rPr>
      </w:pPr>
      <w:r>
        <w:rPr>
          <w:rFonts w:hint="eastAsia" w:ascii="仿宋" w:hAnsi="仿宋" w:eastAsia="仿宋" w:cs="仿宋"/>
          <w:b/>
          <w:color w:val="auto"/>
          <w:sz w:val="32"/>
          <w:szCs w:val="32"/>
          <w:lang w:val="en-US" w:eastAsia="zh-CN"/>
        </w:rPr>
        <w:t>2.规范日常账务处理相关事务</w:t>
      </w:r>
    </w:p>
    <w:p w14:paraId="28B49023">
      <w:pPr>
        <w:pStyle w:val="4"/>
        <w:pageBreakBefore w:val="0"/>
        <w:widowControl w:val="0"/>
        <w:kinsoku/>
        <w:wordWrap/>
        <w:overflowPunct/>
        <w:topLinePunct w:val="0"/>
        <w:autoSpaceDE/>
        <w:autoSpaceDN/>
        <w:bidi w:val="0"/>
        <w:spacing w:line="560" w:lineRule="exact"/>
        <w:ind w:firstLine="640" w:firstLineChars="200"/>
        <w:textAlignment w:val="auto"/>
        <w:rPr>
          <w:rFonts w:hint="eastAsia"/>
          <w:color w:val="auto"/>
          <w:lang w:val="en-US" w:eastAsia="zh-CN"/>
        </w:rPr>
        <w:sectPr>
          <w:pgSz w:w="11906" w:h="16838"/>
          <w:pgMar w:top="1440" w:right="1489" w:bottom="1440" w:left="1797" w:header="851" w:footer="992" w:gutter="0"/>
          <w:pgNumType w:start="1"/>
          <w:cols w:space="425" w:num="1"/>
          <w:docGrid w:type="lines" w:linePitch="312" w:charSpace="0"/>
        </w:sectPr>
      </w:pPr>
      <w:r>
        <w:rPr>
          <w:rFonts w:hint="eastAsia"/>
          <w:color w:val="auto"/>
          <w:lang w:val="en-US" w:eastAsia="zh-CN"/>
        </w:rPr>
        <w:t>建议单位加强规范会计人员日常账务处理基础工作，会计人员要充分认识会计基础工作的重要性，认真学习《会计基础工作规范》和《会计法》的各项规定；加强会计核算，如原始凭证的格式、内容、填制方法、审核程序等符合制度规定的要求;记账凭证内容、填制方法、所附原始凭证、更正错误的方法等符合会计制度要求，并经有关责任人员签章；加大监督检查力度，如将会计基础管理工作列入日常及专项检查的重要内容，实行连带责任追究制，增强责任意识，使会计工作更加规范化、制度化管理。</w:t>
      </w:r>
    </w:p>
    <w:p w14:paraId="14AB1DA0">
      <w:pPr>
        <w:pStyle w:val="4"/>
        <w:pageBreakBefore w:val="0"/>
        <w:widowControl w:val="0"/>
        <w:numPr>
          <w:ilvl w:val="0"/>
          <w:numId w:val="0"/>
        </w:numPr>
        <w:kinsoku/>
        <w:wordWrap/>
        <w:overflowPunct/>
        <w:topLinePunct w:val="0"/>
        <w:autoSpaceDE/>
        <w:autoSpaceDN/>
        <w:bidi w:val="0"/>
        <w:spacing w:line="560" w:lineRule="exact"/>
        <w:ind w:firstLine="643" w:firstLineChars="200"/>
        <w:textAlignment w:val="auto"/>
        <w:outlineLvl w:val="0"/>
        <w:rPr>
          <w:rFonts w:hint="default" w:ascii="仿宋" w:hAnsi="仿宋" w:eastAsia="仿宋" w:cs="仿宋"/>
          <w:b/>
          <w:color w:val="auto"/>
          <w:kern w:val="2"/>
          <w:sz w:val="32"/>
          <w:szCs w:val="32"/>
          <w:lang w:val="en-US" w:eastAsia="zh-CN" w:bidi="ar-SA"/>
        </w:rPr>
      </w:pPr>
      <w:bookmarkStart w:id="251" w:name="_Toc3451"/>
      <w:bookmarkStart w:id="252" w:name="_Toc26446"/>
      <w:bookmarkStart w:id="253" w:name="_Toc32644"/>
      <w:bookmarkStart w:id="254" w:name="_Toc25936"/>
      <w:bookmarkStart w:id="255" w:name="_Toc27855"/>
      <w:bookmarkStart w:id="256" w:name="_Toc12368"/>
      <w:r>
        <w:rPr>
          <w:rFonts w:hint="eastAsia" w:ascii="仿宋" w:hAnsi="仿宋" w:eastAsia="仿宋" w:cs="仿宋"/>
          <w:b/>
          <w:color w:val="auto"/>
          <w:kern w:val="2"/>
          <w:sz w:val="32"/>
          <w:szCs w:val="32"/>
          <w:lang w:val="en-US" w:eastAsia="zh-CN" w:bidi="ar-SA"/>
        </w:rPr>
        <w:t>附件1</w:t>
      </w:r>
      <w:r>
        <w:rPr>
          <w:rFonts w:hint="default" w:ascii="方正小标宋_GBK" w:hAnsi="方正小标宋_GBK" w:eastAsia="方正小标宋_GBK" w:cs="方正小标宋_GBK"/>
          <w:i w:val="0"/>
          <w:iCs w:val="0"/>
          <w:color w:val="auto"/>
          <w:kern w:val="0"/>
          <w:sz w:val="32"/>
          <w:szCs w:val="32"/>
          <w:u w:val="none"/>
          <w:lang w:val="en-US" w:eastAsia="zh-CN" w:bidi="ar"/>
        </w:rPr>
        <w:t>部门整体支出绩效评价指标体系</w:t>
      </w:r>
      <w:bookmarkEnd w:id="251"/>
      <w:bookmarkEnd w:id="252"/>
      <w:bookmarkEnd w:id="253"/>
      <w:bookmarkEnd w:id="254"/>
      <w:bookmarkEnd w:id="255"/>
      <w:bookmarkEnd w:id="256"/>
    </w:p>
    <w:tbl>
      <w:tblPr>
        <w:tblStyle w:val="10"/>
        <w:tblW w:w="4996" w:type="pct"/>
        <w:tblInd w:w="0" w:type="dxa"/>
        <w:shd w:val="clear" w:color="auto" w:fill="auto"/>
        <w:tblLayout w:type="fixed"/>
        <w:tblCellMar>
          <w:top w:w="0" w:type="dxa"/>
          <w:left w:w="108" w:type="dxa"/>
          <w:bottom w:w="0" w:type="dxa"/>
          <w:right w:w="108" w:type="dxa"/>
        </w:tblCellMar>
      </w:tblPr>
      <w:tblGrid>
        <w:gridCol w:w="703"/>
        <w:gridCol w:w="717"/>
        <w:gridCol w:w="867"/>
        <w:gridCol w:w="2474"/>
        <w:gridCol w:w="4499"/>
        <w:gridCol w:w="938"/>
        <w:gridCol w:w="979"/>
        <w:gridCol w:w="2986"/>
      </w:tblGrid>
      <w:tr w14:paraId="55F9A5AF">
        <w:tblPrEx>
          <w:shd w:val="clear" w:color="auto" w:fill="auto"/>
          <w:tblCellMar>
            <w:top w:w="0" w:type="dxa"/>
            <w:left w:w="108" w:type="dxa"/>
            <w:bottom w:w="0" w:type="dxa"/>
            <w:right w:w="108" w:type="dxa"/>
          </w:tblCellMar>
        </w:tblPrEx>
        <w:trPr>
          <w:trHeight w:val="690" w:hRule="atLeast"/>
          <w:tblHeader/>
        </w:trPr>
        <w:tc>
          <w:tcPr>
            <w:tcW w:w="80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AB8B940">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绩效指标</w:t>
            </w:r>
          </w:p>
        </w:tc>
        <w:tc>
          <w:tcPr>
            <w:tcW w:w="8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B33920">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指标解释</w:t>
            </w:r>
          </w:p>
        </w:tc>
        <w:tc>
          <w:tcPr>
            <w:tcW w:w="1588" w:type="pct"/>
            <w:vMerge w:val="restart"/>
            <w:tcBorders>
              <w:top w:val="single" w:color="000000" w:sz="4" w:space="0"/>
              <w:left w:val="nil"/>
              <w:bottom w:val="single" w:color="000000" w:sz="4" w:space="0"/>
              <w:right w:val="single" w:color="000000" w:sz="4" w:space="0"/>
            </w:tcBorders>
            <w:shd w:val="clear" w:color="auto" w:fill="auto"/>
            <w:vAlign w:val="center"/>
          </w:tcPr>
          <w:p w14:paraId="4B143051">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计分标准</w:t>
            </w:r>
          </w:p>
        </w:tc>
        <w:tc>
          <w:tcPr>
            <w:tcW w:w="33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184967">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指标分值</w:t>
            </w:r>
          </w:p>
        </w:tc>
        <w:tc>
          <w:tcPr>
            <w:tcW w:w="345" w:type="pct"/>
            <w:vMerge w:val="restart"/>
            <w:tcBorders>
              <w:top w:val="single" w:color="000000" w:sz="4" w:space="0"/>
              <w:left w:val="nil"/>
              <w:bottom w:val="single" w:color="000000" w:sz="4" w:space="0"/>
              <w:right w:val="single" w:color="000000" w:sz="4" w:space="0"/>
            </w:tcBorders>
            <w:shd w:val="clear" w:color="auto" w:fill="auto"/>
            <w:vAlign w:val="center"/>
          </w:tcPr>
          <w:p w14:paraId="1BC20FE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得分</w:t>
            </w:r>
          </w:p>
        </w:tc>
        <w:tc>
          <w:tcPr>
            <w:tcW w:w="1054" w:type="pct"/>
            <w:vMerge w:val="restart"/>
            <w:tcBorders>
              <w:top w:val="single" w:color="000000" w:sz="4" w:space="0"/>
              <w:left w:val="nil"/>
              <w:bottom w:val="single" w:color="000000" w:sz="4" w:space="0"/>
              <w:right w:val="single" w:color="000000" w:sz="4" w:space="0"/>
            </w:tcBorders>
            <w:shd w:val="clear" w:color="auto" w:fill="auto"/>
            <w:vAlign w:val="center"/>
          </w:tcPr>
          <w:p w14:paraId="50F94AA5">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扣分原因</w:t>
            </w:r>
          </w:p>
        </w:tc>
      </w:tr>
      <w:tr w14:paraId="50ACE8D1">
        <w:tblPrEx>
          <w:shd w:val="clear" w:color="auto" w:fill="auto"/>
          <w:tblCellMar>
            <w:top w:w="0" w:type="dxa"/>
            <w:left w:w="108" w:type="dxa"/>
            <w:bottom w:w="0" w:type="dxa"/>
            <w:right w:w="108" w:type="dxa"/>
          </w:tblCellMar>
        </w:tblPrEx>
        <w:trPr>
          <w:trHeight w:val="345" w:hRule="atLeast"/>
          <w:tblHeader/>
        </w:trPr>
        <w:tc>
          <w:tcPr>
            <w:tcW w:w="2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721A3A">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一级指标</w:t>
            </w:r>
          </w:p>
        </w:tc>
        <w:tc>
          <w:tcPr>
            <w:tcW w:w="2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C73218">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二级指标</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AEDDA5">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三级指标</w:t>
            </w:r>
          </w:p>
        </w:tc>
        <w:tc>
          <w:tcPr>
            <w:tcW w:w="8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1DF4A4">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1588" w:type="pct"/>
            <w:vMerge w:val="continue"/>
            <w:tcBorders>
              <w:top w:val="single" w:color="000000" w:sz="4" w:space="0"/>
              <w:left w:val="nil"/>
              <w:bottom w:val="single" w:color="000000" w:sz="4" w:space="0"/>
              <w:right w:val="single" w:color="000000" w:sz="4" w:space="0"/>
            </w:tcBorders>
            <w:shd w:val="clear" w:color="auto" w:fill="auto"/>
            <w:vAlign w:val="center"/>
          </w:tcPr>
          <w:p w14:paraId="445769C2">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3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4F8A65">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345" w:type="pct"/>
            <w:vMerge w:val="continue"/>
            <w:tcBorders>
              <w:top w:val="single" w:color="000000" w:sz="4" w:space="0"/>
              <w:left w:val="nil"/>
              <w:bottom w:val="single" w:color="000000" w:sz="4" w:space="0"/>
              <w:right w:val="single" w:color="000000" w:sz="4" w:space="0"/>
            </w:tcBorders>
            <w:shd w:val="clear" w:color="auto" w:fill="auto"/>
            <w:vAlign w:val="center"/>
          </w:tcPr>
          <w:p w14:paraId="59FAD17D">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1054" w:type="pct"/>
            <w:vMerge w:val="continue"/>
            <w:tcBorders>
              <w:top w:val="single" w:color="000000" w:sz="4" w:space="0"/>
              <w:left w:val="nil"/>
              <w:bottom w:val="single" w:color="000000" w:sz="4" w:space="0"/>
              <w:right w:val="single" w:color="000000" w:sz="4" w:space="0"/>
            </w:tcBorders>
            <w:shd w:val="clear" w:color="auto" w:fill="auto"/>
            <w:vAlign w:val="center"/>
          </w:tcPr>
          <w:p w14:paraId="52C964BF">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r>
      <w:tr w14:paraId="782B65EC">
        <w:tblPrEx>
          <w:shd w:val="clear" w:color="auto" w:fill="auto"/>
          <w:tblCellMar>
            <w:top w:w="0" w:type="dxa"/>
            <w:left w:w="108" w:type="dxa"/>
            <w:bottom w:w="0" w:type="dxa"/>
            <w:right w:w="108" w:type="dxa"/>
          </w:tblCellMar>
        </w:tblPrEx>
        <w:trPr>
          <w:trHeight w:val="2500" w:hRule="atLeast"/>
        </w:trPr>
        <w:tc>
          <w:tcPr>
            <w:tcW w:w="24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02692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部门预算管理（80分）</w:t>
            </w:r>
          </w:p>
        </w:tc>
        <w:tc>
          <w:tcPr>
            <w:tcW w:w="25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839BF0">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预算编制（30分）</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DFAE9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目标制定</w:t>
            </w:r>
          </w:p>
        </w:tc>
        <w:tc>
          <w:tcPr>
            <w:tcW w:w="8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A97B09">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评价部门绩效目标是否要素完整、细化量化。</w:t>
            </w:r>
          </w:p>
        </w:tc>
        <w:tc>
          <w:tcPr>
            <w:tcW w:w="15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3C725B">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1.绩效目标编制要素完整的，得5分，否则酌情扣分。                                                       2.绩效指标细化量化的，得5分，否则酌情扣分。                  有项目绩效目标的部门（单位），根据项目绩效目标编制质量打分，无项目绩效目标的部门，根据部门整体支出绩效目标打分。                                                                    </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0ED77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5737E8">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10</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2ACB88">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38E8227E">
        <w:tblPrEx>
          <w:shd w:val="clear" w:color="auto" w:fill="auto"/>
          <w:tblCellMar>
            <w:top w:w="0" w:type="dxa"/>
            <w:left w:w="108" w:type="dxa"/>
            <w:bottom w:w="0" w:type="dxa"/>
            <w:right w:w="108" w:type="dxa"/>
          </w:tblCellMar>
        </w:tblPrEx>
        <w:trPr>
          <w:trHeight w:val="2805" w:hRule="atLeast"/>
        </w:trPr>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1231FF">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2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F42738">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2E053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目标实现</w:t>
            </w:r>
          </w:p>
        </w:tc>
        <w:tc>
          <w:tcPr>
            <w:tcW w:w="8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32FA60">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评价部门绩效目标实际实现程度与预期目标的偏离度。</w:t>
            </w:r>
          </w:p>
        </w:tc>
        <w:tc>
          <w:tcPr>
            <w:tcW w:w="15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BFF9F7">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以项目完成数量为核心，评价项目实际完成情况与预期绩效目标偏离度，单个数量指标实际完成未达到预期指标或超过预期指标30%以上的，均不计分。该项指标得分=达到预期值的数量指标个数/全部数量指标个数（即评价选取的项目绩效目标包含的所有数量指标）</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8BF1EE">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E93B2E">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DB3D27">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0C6A55FE">
        <w:tblPrEx>
          <w:shd w:val="clear" w:color="auto" w:fill="auto"/>
          <w:tblCellMar>
            <w:top w:w="0" w:type="dxa"/>
            <w:left w:w="108" w:type="dxa"/>
            <w:bottom w:w="0" w:type="dxa"/>
            <w:right w:w="108" w:type="dxa"/>
          </w:tblCellMar>
        </w:tblPrEx>
        <w:trPr>
          <w:trHeight w:val="1780" w:hRule="atLeast"/>
        </w:trPr>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4E5B33">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2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BE5DE8">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0607C8">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编制准确</w:t>
            </w:r>
          </w:p>
        </w:tc>
        <w:tc>
          <w:tcPr>
            <w:tcW w:w="8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9C0575">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评价部门年初预算编制是否科学准确。</w:t>
            </w:r>
          </w:p>
        </w:tc>
        <w:tc>
          <w:tcPr>
            <w:tcW w:w="15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81949E">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指标得分=（1-（10×部门全年预算调剂金额/年初部门预算数））*指标分值。其中：若部门全年预算调剂金额/年初部门预算数&gt;0.1，此项得0分。</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83053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241598">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7A7AA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单位2021年预算数为2192.54万元，调整预算为2473.58万元，支出决算数为2453.58万元。</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部门全年预算调剂金额/年初部门预算数=0.12&gt;0.1</w:t>
            </w:r>
          </w:p>
        </w:tc>
      </w:tr>
      <w:tr w14:paraId="287A0F95">
        <w:tblPrEx>
          <w:shd w:val="clear" w:color="auto" w:fill="auto"/>
          <w:tblCellMar>
            <w:top w:w="0" w:type="dxa"/>
            <w:left w:w="108" w:type="dxa"/>
            <w:bottom w:w="0" w:type="dxa"/>
            <w:right w:w="108" w:type="dxa"/>
          </w:tblCellMar>
        </w:tblPrEx>
        <w:trPr>
          <w:trHeight w:val="2059" w:hRule="atLeast"/>
        </w:trPr>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BD8832">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25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21777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预算执行（30分）</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150756">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支出控制</w:t>
            </w:r>
          </w:p>
        </w:tc>
        <w:tc>
          <w:tcPr>
            <w:tcW w:w="8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444C71">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部门公用经费及非定额公用支出控制情况。</w:t>
            </w:r>
          </w:p>
        </w:tc>
        <w:tc>
          <w:tcPr>
            <w:tcW w:w="15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1CFFF3">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计算部门日常公用经费、项目支出中“办公费、印刷费、水费、电费、物业管理费”等科目年初预算数与决算数偏差程度                                                              预决算偏差程度在10%以内的，得10分。偏差度在10%-20%之间的，得5分，偏差度超过20%的，不得分。</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BBD1C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D51B81">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32F770">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日常公用经费及项目支出中“办公费、印刷费、水费、电费、物业管理费”等科目年初预算数为125.13万元，决算数为320.87万元，预决算偏差程度为156.42%，偏差程度超过20%。</w:t>
            </w:r>
          </w:p>
        </w:tc>
      </w:tr>
      <w:tr w14:paraId="1C2D4B69">
        <w:tblPrEx>
          <w:shd w:val="clear" w:color="auto" w:fill="auto"/>
          <w:tblCellMar>
            <w:top w:w="0" w:type="dxa"/>
            <w:left w:w="108" w:type="dxa"/>
            <w:bottom w:w="0" w:type="dxa"/>
            <w:right w:w="108" w:type="dxa"/>
          </w:tblCellMar>
        </w:tblPrEx>
        <w:trPr>
          <w:trHeight w:val="3120" w:hRule="atLeast"/>
        </w:trPr>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7A5A5C">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2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FA8445">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73F6C2">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动态调整</w:t>
            </w:r>
          </w:p>
        </w:tc>
        <w:tc>
          <w:tcPr>
            <w:tcW w:w="8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EE11A7">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评价部门开展绩效运行监控后，将绩效监控结果应用到预算调整的情况。</w:t>
            </w:r>
          </w:p>
        </w:tc>
        <w:tc>
          <w:tcPr>
            <w:tcW w:w="15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25A2B7">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1.当部门绩效监控调整取消额和结余注销额均不为零时，指标得分=部门项目支出绩效监控调整取消额÷(部门绩效监控调整取消额+预算结余注销额）*10                                                  2.当部门绩效监控调整取消额为零，结余注销额不为零时，指标得分=（1-10*结余注销额/年度预算总额）*10，结余注销额超过部门年度预算总额10%的，指标不得分。                  3.当部门绩效监控调整取消额与结余注销额均为零时，得满分。                                                             </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19CEE0">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91B067">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AC286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1E2CEDD5">
        <w:tblPrEx>
          <w:shd w:val="clear" w:color="auto" w:fill="auto"/>
          <w:tblCellMar>
            <w:top w:w="0" w:type="dxa"/>
            <w:left w:w="108" w:type="dxa"/>
            <w:bottom w:w="0" w:type="dxa"/>
            <w:right w:w="108" w:type="dxa"/>
          </w:tblCellMar>
        </w:tblPrEx>
        <w:trPr>
          <w:trHeight w:val="2010" w:hRule="atLeast"/>
        </w:trPr>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8FAACE">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2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CD29CF">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2D40D4">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执行进度</w:t>
            </w:r>
          </w:p>
        </w:tc>
        <w:tc>
          <w:tcPr>
            <w:tcW w:w="8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36B637">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评价部门在6、9、11月的预算执行情况。</w:t>
            </w:r>
          </w:p>
        </w:tc>
        <w:tc>
          <w:tcPr>
            <w:tcW w:w="15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6B77D9">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部门预算执行进度在6、9、11月应达到序时进度的80%、90%、90%，即实际支出进度分别达到40%、67.5%、82.5%。                                                     6、9、11月部门预算执行进度达到量化指标的分别得3、4、3分，未达到目标进度的按其实际进度占目标进度的比重计算得分。                                             </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8AD4C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391AEE">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36A79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bl>
    <w:p w14:paraId="668AA82F">
      <w:pPr>
        <w:pStyle w:val="4"/>
        <w:pageBreakBefore w:val="0"/>
        <w:widowControl w:val="0"/>
        <w:kinsoku/>
        <w:wordWrap/>
        <w:overflowPunct/>
        <w:topLinePunct w:val="0"/>
        <w:autoSpaceDE/>
        <w:autoSpaceDN/>
        <w:bidi w:val="0"/>
        <w:spacing w:line="560" w:lineRule="exact"/>
        <w:ind w:firstLine="640" w:firstLineChars="200"/>
        <w:textAlignment w:val="auto"/>
        <w:rPr>
          <w:rFonts w:hint="default"/>
          <w:color w:val="auto"/>
          <w:lang w:val="en-US" w:eastAsia="zh-CN"/>
        </w:rPr>
        <w:sectPr>
          <w:pgSz w:w="16838" w:h="11906" w:orient="landscape"/>
          <w:pgMar w:top="1797" w:right="1440" w:bottom="1489" w:left="1440" w:header="851" w:footer="992" w:gutter="0"/>
          <w:pgNumType w:start="1"/>
          <w:cols w:space="425" w:num="1"/>
          <w:docGrid w:type="lines" w:linePitch="312" w:charSpace="0"/>
        </w:sectPr>
      </w:pPr>
    </w:p>
    <w:p w14:paraId="64BE4E3A">
      <w:pPr>
        <w:pStyle w:val="8"/>
        <w:pageBreakBefore w:val="0"/>
        <w:kinsoku/>
        <w:wordWrap/>
        <w:overflowPunct/>
        <w:topLinePunct w:val="0"/>
        <w:autoSpaceDE/>
        <w:autoSpaceDN/>
        <w:bidi w:val="0"/>
        <w:adjustRightInd w:val="0"/>
        <w:snapToGrid w:val="0"/>
        <w:spacing w:line="560" w:lineRule="exact"/>
        <w:ind w:firstLine="640" w:firstLineChars="200"/>
        <w:rPr>
          <w:rFonts w:hint="default" w:ascii="仿宋" w:hAnsi="仿宋" w:eastAsia="仿宋" w:cs="仿宋"/>
          <w:b w:val="0"/>
          <w:bCs/>
          <w:color w:val="auto"/>
          <w:sz w:val="32"/>
          <w:szCs w:val="32"/>
          <w:lang w:val="en-US" w:eastAsia="zh-CN"/>
        </w:rPr>
      </w:pPr>
    </w:p>
    <w:p w14:paraId="711F1FF7">
      <w:pPr>
        <w:keepNext w:val="0"/>
        <w:keepLines w:val="0"/>
        <w:pageBreakBefore w:val="0"/>
        <w:widowControl/>
        <w:kinsoku/>
        <w:wordWrap/>
        <w:overflowPunct/>
        <w:topLinePunct w:val="0"/>
        <w:autoSpaceDE/>
        <w:autoSpaceDN/>
        <w:bidi w:val="0"/>
        <w:adjustRightInd w:val="0"/>
        <w:snapToGrid w:val="0"/>
        <w:spacing w:line="560" w:lineRule="exact"/>
        <w:ind w:firstLine="0" w:firstLineChars="0"/>
        <w:jc w:val="center"/>
        <w:textAlignment w:val="auto"/>
        <w:outlineLvl w:val="0"/>
        <w:rPr>
          <w:rFonts w:ascii="Times New Roman" w:hAnsi="Times New Roman" w:eastAsia="小标宋" w:cs="Times New Roman"/>
          <w:b/>
          <w:color w:val="auto"/>
          <w:sz w:val="44"/>
          <w:szCs w:val="44"/>
        </w:rPr>
      </w:pPr>
      <w:bookmarkStart w:id="257" w:name="_Toc32039"/>
      <w:bookmarkStart w:id="258" w:name="_Toc30880"/>
      <w:bookmarkStart w:id="259" w:name="_Toc22778"/>
      <w:bookmarkStart w:id="260" w:name="_Toc27914"/>
      <w:bookmarkStart w:id="261" w:name="_Toc483"/>
      <w:bookmarkStart w:id="262" w:name="_Toc13442"/>
      <w:bookmarkStart w:id="263" w:name="_Toc22924"/>
      <w:bookmarkStart w:id="264" w:name="_Toc235"/>
    </w:p>
    <w:p w14:paraId="2ADDAE32">
      <w:pPr>
        <w:keepNext w:val="0"/>
        <w:keepLines w:val="0"/>
        <w:pageBreakBefore w:val="0"/>
        <w:widowControl/>
        <w:kinsoku/>
        <w:wordWrap/>
        <w:overflowPunct/>
        <w:topLinePunct w:val="0"/>
        <w:autoSpaceDE/>
        <w:autoSpaceDN/>
        <w:bidi w:val="0"/>
        <w:adjustRightInd w:val="0"/>
        <w:snapToGrid w:val="0"/>
        <w:spacing w:line="560" w:lineRule="exact"/>
        <w:ind w:firstLine="0" w:firstLineChars="0"/>
        <w:jc w:val="center"/>
        <w:textAlignment w:val="auto"/>
        <w:outlineLvl w:val="0"/>
        <w:rPr>
          <w:rFonts w:hint="eastAsia" w:ascii="Times New Roman" w:hAnsi="Times New Roman" w:eastAsia="小标宋" w:cs="Times New Roman"/>
          <w:b/>
          <w:color w:val="auto"/>
          <w:sz w:val="44"/>
          <w:szCs w:val="44"/>
        </w:rPr>
      </w:pPr>
      <w:r>
        <w:rPr>
          <w:rFonts w:ascii="Times New Roman" w:hAnsi="Times New Roman" w:eastAsia="小标宋" w:cs="Times New Roman"/>
          <w:b/>
          <w:color w:val="auto"/>
          <w:sz w:val="44"/>
          <w:szCs w:val="44"/>
        </w:rPr>
        <w:t>20</w:t>
      </w:r>
      <w:r>
        <w:rPr>
          <w:rFonts w:hint="eastAsia" w:ascii="Times New Roman" w:hAnsi="Times New Roman" w:eastAsia="小标宋" w:cs="Times New Roman"/>
          <w:b/>
          <w:color w:val="auto"/>
          <w:sz w:val="44"/>
          <w:szCs w:val="44"/>
          <w:lang w:val="en-US" w:eastAsia="zh-CN"/>
        </w:rPr>
        <w:t>21</w:t>
      </w:r>
      <w:r>
        <w:rPr>
          <w:rFonts w:ascii="Times New Roman" w:hAnsi="Times New Roman" w:eastAsia="小标宋" w:cs="Times New Roman"/>
          <w:b/>
          <w:color w:val="auto"/>
          <w:sz w:val="44"/>
          <w:szCs w:val="44"/>
        </w:rPr>
        <w:t>年</w:t>
      </w:r>
      <w:r>
        <w:rPr>
          <w:rFonts w:hint="eastAsia" w:ascii="Times New Roman" w:hAnsi="Times New Roman" w:eastAsia="小标宋" w:cs="Times New Roman"/>
          <w:b/>
          <w:color w:val="auto"/>
          <w:sz w:val="44"/>
          <w:szCs w:val="44"/>
          <w:lang w:val="en-US" w:eastAsia="zh-CN"/>
        </w:rPr>
        <w:t>遂宁市洋渡实验学校</w:t>
      </w:r>
      <w:bookmarkEnd w:id="257"/>
      <w:bookmarkEnd w:id="258"/>
      <w:bookmarkEnd w:id="259"/>
      <w:bookmarkEnd w:id="260"/>
      <w:bookmarkStart w:id="265" w:name="_Toc29261"/>
      <w:bookmarkStart w:id="266" w:name="_Toc736"/>
      <w:bookmarkStart w:id="267" w:name="_Toc12861"/>
      <w:bookmarkStart w:id="268" w:name="_Toc24705"/>
      <w:r>
        <w:rPr>
          <w:rFonts w:hint="eastAsia" w:ascii="Times New Roman" w:hAnsi="Times New Roman" w:eastAsia="小标宋" w:cs="Times New Roman"/>
          <w:b/>
          <w:color w:val="auto"/>
          <w:sz w:val="44"/>
          <w:szCs w:val="44"/>
        </w:rPr>
        <w:t>部门整体支出</w:t>
      </w:r>
    </w:p>
    <w:p w14:paraId="627B9FF0">
      <w:pPr>
        <w:keepNext w:val="0"/>
        <w:keepLines w:val="0"/>
        <w:pageBreakBefore w:val="0"/>
        <w:widowControl/>
        <w:kinsoku/>
        <w:wordWrap/>
        <w:overflowPunct/>
        <w:topLinePunct w:val="0"/>
        <w:autoSpaceDE/>
        <w:autoSpaceDN/>
        <w:bidi w:val="0"/>
        <w:adjustRightInd w:val="0"/>
        <w:snapToGrid w:val="0"/>
        <w:spacing w:line="560" w:lineRule="exact"/>
        <w:ind w:firstLine="0" w:firstLineChars="0"/>
        <w:jc w:val="center"/>
        <w:textAlignment w:val="auto"/>
        <w:outlineLvl w:val="0"/>
        <w:rPr>
          <w:rFonts w:ascii="小标宋" w:hAnsi="方正小标宋_GBK" w:eastAsia="小标宋" w:cs="Times New Roman"/>
          <w:b/>
          <w:color w:val="auto"/>
          <w:sz w:val="44"/>
          <w:szCs w:val="44"/>
        </w:rPr>
      </w:pPr>
      <w:r>
        <w:rPr>
          <w:rFonts w:hint="eastAsia" w:ascii="Times New Roman" w:hAnsi="Times New Roman" w:eastAsia="小标宋" w:cs="Times New Roman"/>
          <w:b/>
          <w:color w:val="auto"/>
          <w:sz w:val="44"/>
          <w:szCs w:val="44"/>
        </w:rPr>
        <w:t>绩效评价报告</w:t>
      </w:r>
      <w:bookmarkEnd w:id="261"/>
      <w:bookmarkEnd w:id="262"/>
      <w:bookmarkEnd w:id="263"/>
      <w:bookmarkEnd w:id="264"/>
      <w:bookmarkEnd w:id="265"/>
      <w:bookmarkEnd w:id="266"/>
      <w:bookmarkEnd w:id="267"/>
      <w:bookmarkEnd w:id="268"/>
    </w:p>
    <w:p w14:paraId="6EA32214">
      <w:pPr>
        <w:pStyle w:val="4"/>
        <w:pageBreakBefore w:val="0"/>
        <w:kinsoku/>
        <w:wordWrap/>
        <w:overflowPunct/>
        <w:topLinePunct w:val="0"/>
        <w:autoSpaceDE/>
        <w:autoSpaceDN/>
        <w:bidi w:val="0"/>
        <w:spacing w:line="560" w:lineRule="exact"/>
        <w:ind w:left="0" w:leftChars="0" w:firstLine="0" w:firstLineChars="0"/>
        <w:textAlignment w:val="auto"/>
        <w:rPr>
          <w:rFonts w:hint="eastAsia"/>
          <w:color w:val="auto"/>
        </w:rPr>
      </w:pPr>
    </w:p>
    <w:p w14:paraId="17E7AA53">
      <w:pPr>
        <w:pStyle w:val="4"/>
        <w:keepNext w:val="0"/>
        <w:keepLines w:val="0"/>
        <w:pageBreakBefore w:val="0"/>
        <w:widowControl/>
        <w:kinsoku/>
        <w:wordWrap/>
        <w:overflowPunct/>
        <w:topLinePunct w:val="0"/>
        <w:autoSpaceDE/>
        <w:autoSpaceDN/>
        <w:bidi w:val="0"/>
        <w:adjustRightInd w:val="0"/>
        <w:snapToGrid w:val="0"/>
        <w:spacing w:line="640" w:lineRule="exact"/>
        <w:ind w:left="0" w:leftChars="0" w:firstLine="0" w:firstLineChars="0"/>
        <w:textAlignment w:val="auto"/>
        <w:rPr>
          <w:rFonts w:hint="eastAsia"/>
          <w:color w:val="auto"/>
        </w:rPr>
      </w:pPr>
      <w:r>
        <w:rPr>
          <w:rFonts w:hint="eastAsia"/>
          <w:color w:val="auto"/>
        </w:rPr>
        <w:t>遂宁市河东新区财政金融国资管理局：</w:t>
      </w:r>
    </w:p>
    <w:p w14:paraId="75BED1CB">
      <w:pPr>
        <w:pStyle w:val="4"/>
        <w:keepNext w:val="0"/>
        <w:keepLines w:val="0"/>
        <w:pageBreakBefore w:val="0"/>
        <w:widowControl/>
        <w:kinsoku/>
        <w:wordWrap/>
        <w:overflowPunct/>
        <w:topLinePunct w:val="0"/>
        <w:autoSpaceDE/>
        <w:autoSpaceDN/>
        <w:bidi w:val="0"/>
        <w:adjustRightInd w:val="0"/>
        <w:snapToGrid w:val="0"/>
        <w:spacing w:line="640" w:lineRule="exact"/>
        <w:ind w:firstLine="640" w:firstLineChars="200"/>
        <w:textAlignment w:val="auto"/>
        <w:rPr>
          <w:rFonts w:hint="eastAsia"/>
          <w:color w:val="auto"/>
        </w:rPr>
      </w:pPr>
      <w:r>
        <w:rPr>
          <w:rFonts w:hint="eastAsia"/>
          <w:color w:val="auto"/>
        </w:rPr>
        <w:t>我们接受委托，对遂宁市洋渡实验学校</w:t>
      </w:r>
      <w:r>
        <w:rPr>
          <w:rFonts w:hint="eastAsia"/>
          <w:color w:val="auto"/>
          <w:lang w:val="en-US" w:eastAsia="zh-CN"/>
        </w:rPr>
        <w:t>部门整体</w:t>
      </w:r>
      <w:r>
        <w:rPr>
          <w:rFonts w:hint="eastAsia"/>
          <w:color w:val="auto"/>
        </w:rPr>
        <w:t>进行绩效评价。遂宁市洋渡实验学校对提供的相关资料的真实性、合法性、完整性负责。我们的责任是在遂宁市洋渡实验学校提供的资料基础上发表绩效评价意见。我们依据《中共四川省委 四川省人民政府 关于全面实施预算绩效管理的实施意见》（川委发〔2019〕8号）、财政部《项目支出绩效评价管理办法》</w:t>
      </w:r>
      <w:r>
        <w:rPr>
          <w:rFonts w:hint="eastAsia"/>
          <w:color w:val="auto"/>
          <w:lang w:eastAsia="zh-CN"/>
        </w:rPr>
        <w:t>（</w:t>
      </w:r>
      <w:r>
        <w:rPr>
          <w:rFonts w:hint="eastAsia"/>
          <w:color w:val="auto"/>
        </w:rPr>
        <w:t>财预〔2020〕10号）和四川省财政厅《关于四川省财政支出绩效评价操作规程（试行）》（川财绩〔2018〕2号）、遂宁市河东新区财政金融国资管理局《关于开展2022年财政重点绩效评价工作的通知》（遂东区财发〔2022〕8号）等相关文件规定基础上进行绩效评价工作。</w:t>
      </w:r>
    </w:p>
    <w:p w14:paraId="18A025C5">
      <w:pPr>
        <w:pStyle w:val="4"/>
        <w:keepNext w:val="0"/>
        <w:keepLines w:val="0"/>
        <w:pageBreakBefore w:val="0"/>
        <w:widowControl/>
        <w:kinsoku/>
        <w:wordWrap/>
        <w:overflowPunct/>
        <w:topLinePunct w:val="0"/>
        <w:autoSpaceDE/>
        <w:autoSpaceDN/>
        <w:bidi w:val="0"/>
        <w:adjustRightInd w:val="0"/>
        <w:snapToGrid w:val="0"/>
        <w:spacing w:line="640" w:lineRule="exact"/>
        <w:ind w:firstLine="640" w:firstLineChars="200"/>
        <w:textAlignment w:val="auto"/>
        <w:rPr>
          <w:rFonts w:hint="eastAsia"/>
          <w:color w:val="auto"/>
        </w:rPr>
        <w:sectPr>
          <w:footerReference r:id="rId6" w:type="default"/>
          <w:pgSz w:w="11906" w:h="16838"/>
          <w:pgMar w:top="1440" w:right="1489" w:bottom="1440" w:left="1797" w:header="851" w:footer="992" w:gutter="0"/>
          <w:pgNumType w:fmt="decimal" w:start="1"/>
          <w:cols w:space="425" w:num="1"/>
          <w:docGrid w:type="lines" w:linePitch="312" w:charSpace="0"/>
        </w:sectPr>
      </w:pPr>
      <w:r>
        <w:rPr>
          <w:rFonts w:hint="eastAsia"/>
          <w:color w:val="auto"/>
        </w:rPr>
        <w:t>在评价过程中，评价组结合该项目的实际情况，实地核查相关内设机构的资料，现将评价情况报告如下：</w:t>
      </w:r>
    </w:p>
    <w:p w14:paraId="2BC7CA81">
      <w:pPr>
        <w:pStyle w:val="3"/>
        <w:pageBreakBefore w:val="0"/>
        <w:numPr>
          <w:ilvl w:val="0"/>
          <w:numId w:val="0"/>
        </w:numPr>
        <w:kinsoku/>
        <w:wordWrap/>
        <w:overflowPunct/>
        <w:topLinePunct w:val="0"/>
        <w:autoSpaceDE/>
        <w:autoSpaceDN/>
        <w:bidi w:val="0"/>
        <w:spacing w:line="560" w:lineRule="exact"/>
        <w:ind w:leftChars="200"/>
        <w:rPr>
          <w:rFonts w:hint="eastAsia"/>
          <w:color w:val="auto"/>
        </w:rPr>
      </w:pPr>
      <w:bookmarkStart w:id="269" w:name="_Toc11591"/>
      <w:bookmarkStart w:id="270" w:name="_Toc13293"/>
      <w:bookmarkStart w:id="271" w:name="_Toc954"/>
      <w:bookmarkStart w:id="272" w:name="_Toc14360"/>
      <w:bookmarkStart w:id="273" w:name="_Toc13404"/>
      <w:bookmarkStart w:id="274" w:name="_Toc23328"/>
      <w:bookmarkStart w:id="275" w:name="_Toc29926"/>
      <w:bookmarkStart w:id="276" w:name="_Toc4547"/>
      <w:r>
        <w:rPr>
          <w:rFonts w:hint="eastAsia"/>
          <w:color w:val="auto"/>
          <w:lang w:eastAsia="zh-CN"/>
        </w:rPr>
        <w:t>一、</w:t>
      </w:r>
      <w:r>
        <w:rPr>
          <w:rFonts w:hint="eastAsia"/>
          <w:color w:val="auto"/>
        </w:rPr>
        <w:t>部门（单位）概况</w:t>
      </w:r>
      <w:bookmarkEnd w:id="269"/>
      <w:bookmarkEnd w:id="270"/>
      <w:bookmarkEnd w:id="271"/>
      <w:bookmarkEnd w:id="272"/>
      <w:bookmarkEnd w:id="273"/>
      <w:bookmarkEnd w:id="274"/>
      <w:bookmarkEnd w:id="275"/>
      <w:bookmarkEnd w:id="276"/>
    </w:p>
    <w:p w14:paraId="4E08409F">
      <w:pPr>
        <w:pStyle w:val="5"/>
        <w:pageBreakBefore w:val="0"/>
        <w:kinsoku/>
        <w:wordWrap/>
        <w:overflowPunct/>
        <w:topLinePunct w:val="0"/>
        <w:autoSpaceDE/>
        <w:autoSpaceDN/>
        <w:bidi w:val="0"/>
        <w:adjustRightInd/>
        <w:spacing w:line="560" w:lineRule="exact"/>
        <w:ind w:firstLine="643" w:firstLineChars="200"/>
        <w:rPr>
          <w:rFonts w:hint="eastAsia"/>
          <w:color w:val="auto"/>
        </w:rPr>
      </w:pPr>
      <w:bookmarkStart w:id="277" w:name="_Toc17602"/>
      <w:bookmarkStart w:id="278" w:name="_Toc22092"/>
      <w:bookmarkStart w:id="279" w:name="_Toc29608"/>
      <w:bookmarkStart w:id="280" w:name="_Toc5200"/>
      <w:bookmarkStart w:id="281" w:name="_Toc2718"/>
      <w:bookmarkStart w:id="282" w:name="_Toc24341"/>
      <w:bookmarkStart w:id="283" w:name="_Toc15944"/>
      <w:bookmarkStart w:id="284" w:name="_Toc18196"/>
      <w:r>
        <w:rPr>
          <w:rFonts w:hint="eastAsia"/>
          <w:color w:val="auto"/>
        </w:rPr>
        <w:t>机构职能</w:t>
      </w:r>
      <w:bookmarkEnd w:id="277"/>
      <w:bookmarkEnd w:id="278"/>
      <w:bookmarkEnd w:id="279"/>
      <w:bookmarkEnd w:id="280"/>
      <w:bookmarkEnd w:id="281"/>
      <w:bookmarkEnd w:id="282"/>
      <w:bookmarkEnd w:id="283"/>
      <w:bookmarkEnd w:id="284"/>
    </w:p>
    <w:p w14:paraId="393F19D6">
      <w:pPr>
        <w:pStyle w:val="4"/>
        <w:pageBreakBefore w:val="0"/>
        <w:kinsoku/>
        <w:wordWrap/>
        <w:overflowPunct/>
        <w:topLinePunct w:val="0"/>
        <w:autoSpaceDE/>
        <w:autoSpaceDN/>
        <w:bidi w:val="0"/>
        <w:spacing w:line="560" w:lineRule="exact"/>
        <w:ind w:firstLine="640" w:firstLineChars="200"/>
        <w:rPr>
          <w:rFonts w:hint="default" w:ascii="宋体" w:hAnsi="宋体" w:cs="宋体"/>
          <w:b w:val="0"/>
          <w:bCs w:val="0"/>
          <w:color w:val="auto"/>
          <w:szCs w:val="21"/>
          <w:lang w:val="en-US" w:eastAsia="zh-CN"/>
        </w:rPr>
      </w:pPr>
      <w:r>
        <w:rPr>
          <w:rFonts w:hint="eastAsia" w:ascii="宋体" w:hAnsi="宋体" w:cs="宋体"/>
          <w:b w:val="0"/>
          <w:bCs w:val="0"/>
          <w:color w:val="auto"/>
          <w:szCs w:val="21"/>
          <w:lang w:val="en-US" w:eastAsia="zh-CN"/>
        </w:rPr>
        <w:t>遂宁市洋渡实验学校（以下简称“洋渡实验学校”）是遂宁市河东新区管委会所属公益一类事业单位，主要承担九年制义务教育活动，促进基础教育发展，负责九年一贯制学历教育和相关社会事务。</w:t>
      </w:r>
    </w:p>
    <w:p w14:paraId="53090958">
      <w:pPr>
        <w:pStyle w:val="5"/>
        <w:pageBreakBefore w:val="0"/>
        <w:kinsoku/>
        <w:wordWrap/>
        <w:overflowPunct/>
        <w:topLinePunct w:val="0"/>
        <w:autoSpaceDE/>
        <w:autoSpaceDN/>
        <w:bidi w:val="0"/>
        <w:adjustRightInd/>
        <w:spacing w:line="560" w:lineRule="exact"/>
        <w:ind w:firstLine="643" w:firstLineChars="200"/>
        <w:rPr>
          <w:color w:val="auto"/>
        </w:rPr>
      </w:pPr>
      <w:bookmarkStart w:id="285" w:name="_Toc20107"/>
      <w:bookmarkStart w:id="286" w:name="_Toc27694"/>
      <w:bookmarkStart w:id="287" w:name="_Toc5751"/>
      <w:bookmarkStart w:id="288" w:name="_Toc29531"/>
      <w:bookmarkStart w:id="289" w:name="_Toc3967"/>
      <w:bookmarkStart w:id="290" w:name="_Toc26129"/>
      <w:bookmarkStart w:id="291" w:name="_Toc6126"/>
      <w:bookmarkStart w:id="292" w:name="_Toc31568"/>
      <w:r>
        <w:rPr>
          <w:rFonts w:hint="eastAsia"/>
          <w:color w:val="auto"/>
        </w:rPr>
        <w:t>机构组成</w:t>
      </w:r>
      <w:bookmarkEnd w:id="285"/>
      <w:bookmarkEnd w:id="286"/>
      <w:bookmarkEnd w:id="287"/>
      <w:bookmarkEnd w:id="288"/>
      <w:bookmarkEnd w:id="289"/>
      <w:bookmarkEnd w:id="290"/>
      <w:bookmarkEnd w:id="291"/>
      <w:bookmarkEnd w:id="292"/>
    </w:p>
    <w:p w14:paraId="02E363D2">
      <w:pPr>
        <w:pStyle w:val="4"/>
        <w:pageBreakBefore w:val="0"/>
        <w:kinsoku/>
        <w:wordWrap/>
        <w:overflowPunct/>
        <w:topLinePunct w:val="0"/>
        <w:autoSpaceDE/>
        <w:autoSpaceDN/>
        <w:bidi w:val="0"/>
        <w:spacing w:line="560" w:lineRule="exact"/>
        <w:ind w:firstLine="640" w:firstLineChars="200"/>
        <w:textAlignment w:val="auto"/>
        <w:rPr>
          <w:rFonts w:hint="eastAsia"/>
          <w:color w:val="auto"/>
          <w:lang w:val="en-US" w:eastAsia="zh-CN"/>
        </w:rPr>
      </w:pPr>
      <w:r>
        <w:rPr>
          <w:rFonts w:hint="eastAsia" w:ascii="宋体" w:hAnsi="宋体" w:cs="宋体"/>
          <w:b w:val="0"/>
          <w:bCs w:val="0"/>
          <w:color w:val="auto"/>
          <w:szCs w:val="21"/>
          <w:lang w:val="en-US" w:eastAsia="zh-CN"/>
        </w:rPr>
        <w:t>洋渡实验学校</w:t>
      </w:r>
      <w:r>
        <w:rPr>
          <w:rFonts w:hint="eastAsia"/>
          <w:color w:val="auto"/>
          <w:lang w:val="en-US" w:eastAsia="zh-CN"/>
        </w:rPr>
        <w:t>内设学校党支部、校长室、学校办公室和学科学术委员会四个机构，</w:t>
      </w:r>
      <w:r>
        <w:rPr>
          <w:rFonts w:hint="eastAsia" w:ascii="宋体" w:hAnsi="宋体" w:cs="宋体"/>
          <w:b w:val="0"/>
          <w:bCs w:val="0"/>
          <w:color w:val="auto"/>
          <w:szCs w:val="21"/>
          <w:lang w:val="en-US" w:eastAsia="zh-CN"/>
        </w:rPr>
        <w:t>设校长1名，副校长2名。</w:t>
      </w:r>
    </w:p>
    <w:p w14:paraId="5ADA77C7">
      <w:pPr>
        <w:pStyle w:val="5"/>
        <w:pageBreakBefore w:val="0"/>
        <w:kinsoku/>
        <w:wordWrap/>
        <w:overflowPunct/>
        <w:topLinePunct w:val="0"/>
        <w:autoSpaceDE/>
        <w:autoSpaceDN/>
        <w:bidi w:val="0"/>
        <w:spacing w:line="560" w:lineRule="exact"/>
        <w:ind w:left="-13" w:leftChars="0" w:firstLine="643" w:firstLineChars="200"/>
        <w:textAlignment w:val="auto"/>
        <w:rPr>
          <w:color w:val="auto"/>
        </w:rPr>
      </w:pPr>
      <w:bookmarkStart w:id="293" w:name="_Toc31187"/>
      <w:bookmarkStart w:id="294" w:name="_Toc17888"/>
      <w:bookmarkStart w:id="295" w:name="_Toc17411"/>
      <w:bookmarkStart w:id="296" w:name="_Toc18029"/>
      <w:bookmarkStart w:id="297" w:name="_Toc9326"/>
      <w:bookmarkStart w:id="298" w:name="_Toc23992"/>
      <w:bookmarkStart w:id="299" w:name="_Toc924"/>
      <w:bookmarkStart w:id="300" w:name="_Toc7383"/>
      <w:r>
        <w:rPr>
          <w:rFonts w:hint="eastAsia"/>
          <w:color w:val="auto"/>
        </w:rPr>
        <w:t>人员概况</w:t>
      </w:r>
      <w:bookmarkEnd w:id="293"/>
      <w:bookmarkEnd w:id="294"/>
      <w:bookmarkEnd w:id="295"/>
      <w:bookmarkEnd w:id="296"/>
      <w:bookmarkEnd w:id="297"/>
      <w:bookmarkEnd w:id="298"/>
      <w:bookmarkEnd w:id="299"/>
      <w:bookmarkEnd w:id="300"/>
    </w:p>
    <w:p w14:paraId="054BD91F">
      <w:pPr>
        <w:pStyle w:val="4"/>
        <w:pageBreakBefore w:val="0"/>
        <w:kinsoku/>
        <w:wordWrap/>
        <w:overflowPunct/>
        <w:topLinePunct w:val="0"/>
        <w:autoSpaceDE/>
        <w:autoSpaceDN/>
        <w:bidi w:val="0"/>
        <w:spacing w:line="560" w:lineRule="exact"/>
        <w:ind w:firstLine="640" w:firstLineChars="200"/>
        <w:textAlignment w:val="auto"/>
        <w:rPr>
          <w:rFonts w:hint="default"/>
          <w:color w:val="auto"/>
          <w:highlight w:val="none"/>
          <w:lang w:val="en-US" w:eastAsia="zh-CN"/>
        </w:rPr>
      </w:pPr>
      <w:r>
        <w:rPr>
          <w:rFonts w:hint="eastAsia"/>
          <w:color w:val="auto"/>
          <w:highlight w:val="none"/>
          <w:lang w:val="en-US" w:eastAsia="zh-CN"/>
        </w:rPr>
        <w:t>截至2021年12月31日，</w:t>
      </w:r>
      <w:r>
        <w:rPr>
          <w:rFonts w:hint="eastAsia" w:ascii="宋体" w:hAnsi="宋体" w:cs="宋体"/>
          <w:b w:val="0"/>
          <w:bCs w:val="0"/>
          <w:color w:val="auto"/>
          <w:szCs w:val="21"/>
          <w:lang w:val="en-US" w:eastAsia="zh-CN"/>
        </w:rPr>
        <w:t>洋渡实验学校</w:t>
      </w:r>
      <w:r>
        <w:rPr>
          <w:rFonts w:hint="eastAsia"/>
          <w:color w:val="auto"/>
          <w:highlight w:val="none"/>
          <w:lang w:val="en-US" w:eastAsia="zh-CN"/>
        </w:rPr>
        <w:t>共有教职工编制数124名，实有在职人员123人。</w:t>
      </w:r>
    </w:p>
    <w:p w14:paraId="5998D4D3">
      <w:pPr>
        <w:pStyle w:val="5"/>
        <w:pageBreakBefore w:val="0"/>
        <w:numPr>
          <w:ilvl w:val="0"/>
          <w:numId w:val="2"/>
        </w:numPr>
        <w:kinsoku/>
        <w:wordWrap/>
        <w:overflowPunct/>
        <w:topLinePunct w:val="0"/>
        <w:autoSpaceDE/>
        <w:autoSpaceDN/>
        <w:bidi w:val="0"/>
        <w:adjustRightInd/>
        <w:spacing w:line="560" w:lineRule="exact"/>
        <w:ind w:left="0" w:leftChars="0" w:firstLine="643" w:firstLineChars="200"/>
        <w:rPr>
          <w:rFonts w:hint="eastAsia"/>
        </w:rPr>
      </w:pPr>
      <w:bookmarkStart w:id="301" w:name="_Toc20996"/>
      <w:bookmarkStart w:id="302" w:name="_Toc32052"/>
      <w:bookmarkStart w:id="303" w:name="_Toc86"/>
      <w:bookmarkStart w:id="304" w:name="_Toc18135"/>
      <w:bookmarkStart w:id="305" w:name="_Toc20715"/>
      <w:bookmarkStart w:id="306" w:name="_Toc8701"/>
      <w:bookmarkStart w:id="307" w:name="_Toc22046"/>
      <w:bookmarkStart w:id="308" w:name="_Toc12244"/>
      <w:r>
        <w:rPr>
          <w:rFonts w:hint="eastAsia"/>
          <w:color w:val="auto"/>
        </w:rPr>
        <w:t>年度主要工作目标及重点工作</w:t>
      </w:r>
      <w:bookmarkEnd w:id="301"/>
      <w:bookmarkEnd w:id="302"/>
      <w:bookmarkEnd w:id="303"/>
      <w:bookmarkEnd w:id="304"/>
      <w:bookmarkEnd w:id="305"/>
      <w:bookmarkEnd w:id="306"/>
      <w:bookmarkEnd w:id="307"/>
      <w:bookmarkEnd w:id="308"/>
    </w:p>
    <w:p w14:paraId="45ACA369">
      <w:pPr>
        <w:pStyle w:val="6"/>
        <w:pageBreakBefore w:val="0"/>
        <w:numPr>
          <w:ilvl w:val="2"/>
          <w:numId w:val="0"/>
        </w:numPr>
        <w:kinsoku/>
        <w:wordWrap/>
        <w:overflowPunct/>
        <w:topLinePunct w:val="0"/>
        <w:autoSpaceDE/>
        <w:autoSpaceDN/>
        <w:bidi w:val="0"/>
        <w:adjustRightInd/>
        <w:spacing w:line="560" w:lineRule="exact"/>
        <w:ind w:leftChars="0" w:firstLine="643" w:firstLineChars="200"/>
        <w:rPr>
          <w:rFonts w:hint="default"/>
          <w:b/>
          <w:bCs w:val="0"/>
          <w:color w:val="auto"/>
          <w:lang w:val="en-US" w:eastAsia="zh-CN"/>
        </w:rPr>
      </w:pPr>
      <w:r>
        <w:rPr>
          <w:rFonts w:hint="eastAsia"/>
          <w:b/>
          <w:bCs w:val="0"/>
          <w:color w:val="auto"/>
          <w:lang w:val="en-US" w:eastAsia="zh-CN"/>
        </w:rPr>
        <w:t>1.年度主要工作目标</w:t>
      </w:r>
    </w:p>
    <w:p w14:paraId="7B3EA4C6">
      <w:pPr>
        <w:pStyle w:val="4"/>
        <w:pageBreakBefore w:val="0"/>
        <w:kinsoku/>
        <w:wordWrap/>
        <w:overflowPunct/>
        <w:topLinePunct w:val="0"/>
        <w:autoSpaceDE/>
        <w:autoSpaceDN/>
        <w:bidi w:val="0"/>
        <w:spacing w:line="560" w:lineRule="exact"/>
        <w:ind w:firstLine="640" w:firstLineChars="200"/>
        <w:textAlignment w:val="auto"/>
        <w:rPr>
          <w:rFonts w:hint="eastAsia" w:eastAsia="仿宋" w:cstheme="minorBidi"/>
          <w:color w:val="auto"/>
          <w:kern w:val="2"/>
          <w:sz w:val="32"/>
          <w:szCs w:val="32"/>
          <w:lang w:val="en-US" w:eastAsia="zh-CN" w:bidi="ar-SA"/>
        </w:rPr>
      </w:pPr>
      <w:r>
        <w:rPr>
          <w:rFonts w:hint="eastAsia" w:eastAsia="仿宋" w:cstheme="minorBidi"/>
          <w:color w:val="auto"/>
          <w:kern w:val="2"/>
          <w:szCs w:val="32"/>
          <w:lang w:val="en-US" w:eastAsia="zh-CN"/>
        </w:rPr>
        <w:t>2021年，洋渡实验学校</w:t>
      </w:r>
      <w:r>
        <w:rPr>
          <w:rFonts w:hint="eastAsia" w:eastAsia="仿宋" w:cstheme="minorBidi"/>
          <w:color w:val="auto"/>
          <w:kern w:val="2"/>
          <w:szCs w:val="32"/>
          <w:lang w:val="en-US"/>
        </w:rPr>
        <w:t>在河东新区党工委、管委会的支持下，社群局的具体指导下，</w:t>
      </w:r>
      <w:r>
        <w:rPr>
          <w:rFonts w:hint="eastAsia" w:eastAsia="仿宋" w:cstheme="minorBidi"/>
          <w:color w:val="auto"/>
          <w:kern w:val="2"/>
          <w:szCs w:val="32"/>
          <w:lang w:val="en-US" w:eastAsia="zh-CN"/>
        </w:rPr>
        <w:t>年度主要工作目标为</w:t>
      </w:r>
      <w:r>
        <w:rPr>
          <w:rFonts w:hint="eastAsia" w:eastAsia="仿宋" w:cstheme="minorBidi"/>
          <w:color w:val="auto"/>
          <w:kern w:val="2"/>
          <w:sz w:val="32"/>
          <w:szCs w:val="32"/>
          <w:lang w:val="en-US" w:eastAsia="zh-CN" w:bidi="ar-SA"/>
        </w:rPr>
        <w:t>加强党建工作，发挥引领示范作用；</w:t>
      </w:r>
      <w:r>
        <w:rPr>
          <w:rFonts w:hint="eastAsia" w:eastAsia="仿宋" w:cstheme="minorBidi"/>
          <w:color w:val="auto"/>
          <w:kern w:val="2"/>
          <w:szCs w:val="32"/>
          <w:lang w:val="en-US"/>
        </w:rPr>
        <w:t>强化品格培育，注重五育并举</w:t>
      </w:r>
      <w:r>
        <w:rPr>
          <w:rFonts w:hint="eastAsia" w:eastAsia="仿宋" w:cstheme="minorBidi"/>
          <w:color w:val="auto"/>
          <w:kern w:val="2"/>
          <w:szCs w:val="32"/>
          <w:lang w:val="en-US" w:eastAsia="zh-CN"/>
        </w:rPr>
        <w:t>；</w:t>
      </w:r>
      <w:r>
        <w:rPr>
          <w:rFonts w:hint="eastAsia" w:eastAsia="仿宋" w:cstheme="minorBidi"/>
          <w:color w:val="auto"/>
          <w:kern w:val="2"/>
          <w:szCs w:val="32"/>
          <w:lang w:val="en-US"/>
        </w:rPr>
        <w:t>加强课程建设和教育科研</w:t>
      </w:r>
      <w:r>
        <w:rPr>
          <w:rFonts w:hint="eastAsia" w:eastAsia="仿宋" w:cstheme="minorBidi"/>
          <w:color w:val="auto"/>
          <w:kern w:val="2"/>
          <w:szCs w:val="32"/>
          <w:lang w:val="en-US" w:eastAsia="zh-CN"/>
        </w:rPr>
        <w:t>；推行课堂教学模式；教师队伍专业水平体系化发展；创新艺体卫特色工作；推进智慧校园工作。</w:t>
      </w:r>
    </w:p>
    <w:p w14:paraId="49A900F8">
      <w:pPr>
        <w:pStyle w:val="6"/>
        <w:pageBreakBefore w:val="0"/>
        <w:numPr>
          <w:ilvl w:val="2"/>
          <w:numId w:val="0"/>
        </w:numPr>
        <w:kinsoku/>
        <w:wordWrap/>
        <w:overflowPunct/>
        <w:topLinePunct w:val="0"/>
        <w:autoSpaceDE/>
        <w:autoSpaceDN/>
        <w:bidi w:val="0"/>
        <w:spacing w:line="560" w:lineRule="exact"/>
        <w:ind w:firstLine="643" w:firstLineChars="200"/>
        <w:textAlignment w:val="auto"/>
        <w:rPr>
          <w:rFonts w:hint="eastAsia" w:eastAsia="仿宋" w:cstheme="minorBidi"/>
          <w:color w:val="auto"/>
          <w:kern w:val="2"/>
          <w:sz w:val="32"/>
          <w:szCs w:val="32"/>
          <w:highlight w:val="none"/>
          <w:lang w:val="en-US" w:eastAsia="zh-CN" w:bidi="ar-SA"/>
        </w:rPr>
      </w:pPr>
      <w:r>
        <w:rPr>
          <w:rFonts w:hint="eastAsia"/>
          <w:b/>
          <w:bCs w:val="0"/>
          <w:color w:val="auto"/>
          <w:szCs w:val="32"/>
          <w:highlight w:val="none"/>
          <w:lang w:val="en-US" w:eastAsia="zh-CN"/>
        </w:rPr>
        <w:t>2.强化党建工作</w:t>
      </w:r>
    </w:p>
    <w:p w14:paraId="38D707FC">
      <w:pPr>
        <w:pageBreakBefore w:val="0"/>
        <w:numPr>
          <w:ilvl w:val="0"/>
          <w:numId w:val="0"/>
        </w:numPr>
        <w:kinsoku/>
        <w:wordWrap/>
        <w:overflowPunct/>
        <w:topLinePunct w:val="0"/>
        <w:autoSpaceDE/>
        <w:autoSpaceDN/>
        <w:bidi w:val="0"/>
        <w:spacing w:line="560" w:lineRule="exact"/>
        <w:ind w:left="279" w:leftChars="133" w:firstLine="640" w:firstLineChars="200"/>
        <w:jc w:val="left"/>
        <w:textAlignment w:val="auto"/>
        <w:rPr>
          <w:rFonts w:hint="eastAsia" w:eastAsia="仿宋" w:cstheme="minorBidi"/>
          <w:color w:val="auto"/>
          <w:kern w:val="2"/>
          <w:sz w:val="32"/>
          <w:szCs w:val="32"/>
          <w:highlight w:val="none"/>
          <w:lang w:val="en-US" w:eastAsia="zh-CN" w:bidi="ar-SA"/>
        </w:rPr>
      </w:pPr>
      <w:r>
        <w:rPr>
          <w:rFonts w:hint="eastAsia" w:ascii="Times New Roman" w:hAnsi="Times New Roman" w:eastAsia="仿宋"/>
          <w:color w:val="auto"/>
          <w:sz w:val="32"/>
          <w:szCs w:val="32"/>
          <w:highlight w:val="none"/>
        </w:rPr>
        <w:t>建立学习型党组织，开展主题活动，抓好意识形态教育，加强党员学习活动常态化、制度化</w:t>
      </w:r>
      <w:r>
        <w:rPr>
          <w:rFonts w:hint="eastAsia" w:ascii="Times New Roman" w:hAnsi="Times New Roman" w:eastAsia="仿宋"/>
          <w:color w:val="auto"/>
          <w:sz w:val="32"/>
          <w:szCs w:val="32"/>
          <w:highlight w:val="none"/>
          <w:lang w:eastAsia="zh-CN"/>
        </w:rPr>
        <w:t>；</w:t>
      </w:r>
      <w:r>
        <w:rPr>
          <w:rFonts w:hint="eastAsia" w:ascii="Times New Roman" w:hAnsi="Times New Roman" w:eastAsia="仿宋"/>
          <w:color w:val="auto"/>
          <w:sz w:val="32"/>
          <w:szCs w:val="32"/>
          <w:highlight w:val="none"/>
        </w:rPr>
        <w:t>强化责任使命，弘扬先锋模范作用，让党员的身份亮起来，推动党员示范岗和示范班组</w:t>
      </w:r>
      <w:r>
        <w:rPr>
          <w:rFonts w:hint="eastAsia" w:ascii="Times New Roman" w:hAnsi="Times New Roman" w:eastAsia="仿宋"/>
          <w:color w:val="auto"/>
          <w:sz w:val="32"/>
          <w:szCs w:val="32"/>
          <w:highlight w:val="none"/>
          <w:lang w:eastAsia="zh-CN"/>
        </w:rPr>
        <w:t>；</w:t>
      </w:r>
      <w:r>
        <w:rPr>
          <w:rFonts w:hint="eastAsia" w:ascii="Times New Roman" w:hAnsi="Times New Roman" w:eastAsia="仿宋"/>
          <w:color w:val="auto"/>
          <w:sz w:val="32"/>
          <w:szCs w:val="32"/>
          <w:highlight w:val="none"/>
        </w:rPr>
        <w:t>抓好支部建设和党风廉政建设，发展党员积极分子。建立党员廉教活动，开展系列主题突出、针对性强的教育活动</w:t>
      </w:r>
      <w:r>
        <w:rPr>
          <w:rFonts w:hint="eastAsia" w:ascii="Times New Roman" w:hAnsi="Times New Roman" w:eastAsia="仿宋"/>
          <w:color w:val="auto"/>
          <w:sz w:val="32"/>
          <w:szCs w:val="32"/>
          <w:highlight w:val="none"/>
          <w:lang w:eastAsia="zh-CN"/>
        </w:rPr>
        <w:t>；</w:t>
      </w:r>
      <w:r>
        <w:rPr>
          <w:rFonts w:hint="eastAsia" w:ascii="Times New Roman" w:hAnsi="Times New Roman" w:eastAsia="仿宋"/>
          <w:color w:val="auto"/>
          <w:sz w:val="32"/>
          <w:szCs w:val="32"/>
          <w:highlight w:val="none"/>
        </w:rPr>
        <w:t>加强党性锤炼，庆祝建党100周年</w:t>
      </w:r>
      <w:r>
        <w:rPr>
          <w:rFonts w:hint="eastAsia" w:ascii="Times New Roman" w:hAnsi="Times New Roman" w:eastAsia="仿宋"/>
          <w:color w:val="auto"/>
          <w:sz w:val="32"/>
          <w:szCs w:val="32"/>
          <w:highlight w:val="none"/>
          <w:lang w:eastAsia="zh-CN"/>
        </w:rPr>
        <w:t>；</w:t>
      </w:r>
      <w:r>
        <w:rPr>
          <w:rFonts w:hint="eastAsia" w:ascii="Times New Roman" w:hAnsi="Times New Roman" w:eastAsia="仿宋"/>
          <w:color w:val="auto"/>
          <w:sz w:val="32"/>
          <w:szCs w:val="32"/>
          <w:highlight w:val="none"/>
        </w:rPr>
        <w:t>开展党史党恩主题系列活动，多形式庆祝党的生日。</w:t>
      </w:r>
    </w:p>
    <w:p w14:paraId="62486F2B">
      <w:pPr>
        <w:pStyle w:val="6"/>
        <w:pageBreakBefore w:val="0"/>
        <w:numPr>
          <w:ilvl w:val="2"/>
          <w:numId w:val="0"/>
        </w:numPr>
        <w:wordWrap/>
        <w:overflowPunct/>
        <w:topLinePunct w:val="0"/>
        <w:bidi w:val="0"/>
        <w:spacing w:line="560" w:lineRule="exact"/>
        <w:ind w:firstLine="643" w:firstLineChars="200"/>
        <w:rPr>
          <w:rFonts w:hint="eastAsia"/>
          <w:b/>
          <w:bCs w:val="0"/>
          <w:color w:val="auto"/>
          <w:highlight w:val="none"/>
          <w:lang w:val="en-US" w:eastAsia="zh-CN"/>
        </w:rPr>
      </w:pPr>
      <w:r>
        <w:rPr>
          <w:rFonts w:hint="eastAsia"/>
          <w:b/>
          <w:bCs w:val="0"/>
          <w:color w:val="auto"/>
          <w:highlight w:val="none"/>
          <w:lang w:val="en-US" w:eastAsia="zh-CN"/>
        </w:rPr>
        <w:t>3.做好德育工作</w:t>
      </w:r>
    </w:p>
    <w:p w14:paraId="6F246AA1">
      <w:pPr>
        <w:pageBreakBefore w:val="0"/>
        <w:numPr>
          <w:ilvl w:val="0"/>
          <w:numId w:val="0"/>
        </w:numPr>
        <w:wordWrap/>
        <w:overflowPunct/>
        <w:topLinePunct w:val="0"/>
        <w:bidi w:val="0"/>
        <w:spacing w:line="560" w:lineRule="exact"/>
        <w:ind w:left="279" w:leftChars="133" w:firstLine="640" w:firstLineChars="200"/>
        <w:jc w:val="left"/>
        <w:rPr>
          <w:rFonts w:hint="eastAsia" w:eastAsia="仿宋_GB2312" w:cs="Times New Roman"/>
          <w:bCs w:val="0"/>
          <w:color w:val="auto"/>
          <w:kern w:val="0"/>
          <w:sz w:val="32"/>
          <w:szCs w:val="28"/>
          <w:highlight w:val="none"/>
          <w:lang w:val="en-US" w:eastAsia="zh-CN" w:bidi="ar-SA"/>
        </w:rPr>
      </w:pPr>
      <w:r>
        <w:rPr>
          <w:rFonts w:hint="eastAsia" w:ascii="Times New Roman" w:hAnsi="Times New Roman" w:eastAsia="仿宋" w:cstheme="minorBidi"/>
          <w:color w:val="auto"/>
          <w:kern w:val="2"/>
          <w:sz w:val="32"/>
          <w:szCs w:val="32"/>
          <w:highlight w:val="none"/>
          <w:lang w:val="en-US" w:eastAsia="zh-CN" w:bidi="ar-SA"/>
        </w:rPr>
        <w:t>狠抓德育常规工作，强化养成教育；</w:t>
      </w:r>
      <w:r>
        <w:rPr>
          <w:rFonts w:hint="eastAsia" w:ascii="Times New Roman" w:hAnsi="Times New Roman" w:eastAsia="仿宋"/>
          <w:color w:val="auto"/>
          <w:sz w:val="32"/>
          <w:szCs w:val="32"/>
          <w:highlight w:val="none"/>
          <w:lang w:val="en-US"/>
        </w:rPr>
        <w:t>活动育人序列化开展</w:t>
      </w:r>
      <w:r>
        <w:rPr>
          <w:rFonts w:hint="eastAsia" w:ascii="Times New Roman" w:hAnsi="Times New Roman" w:eastAsia="仿宋" w:cstheme="minorBidi"/>
          <w:color w:val="auto"/>
          <w:kern w:val="2"/>
          <w:sz w:val="32"/>
          <w:szCs w:val="32"/>
          <w:highlight w:val="none"/>
          <w:lang w:val="en-US" w:eastAsia="zh-CN"/>
        </w:rPr>
        <w:t>；开展德育评价活动；</w:t>
      </w:r>
      <w:r>
        <w:rPr>
          <w:rFonts w:hint="eastAsia" w:ascii="Times New Roman" w:hAnsi="Times New Roman" w:eastAsia="仿宋"/>
          <w:color w:val="auto"/>
          <w:sz w:val="32"/>
          <w:szCs w:val="32"/>
          <w:highlight w:val="none"/>
          <w:lang w:val="en-US"/>
        </w:rPr>
        <w:t>推动家校共育有效开展</w:t>
      </w:r>
      <w:r>
        <w:rPr>
          <w:rFonts w:hint="eastAsia" w:ascii="Times New Roman" w:hAnsi="Times New Roman" w:eastAsia="仿宋" w:cstheme="minorBidi"/>
          <w:color w:val="auto"/>
          <w:kern w:val="2"/>
          <w:sz w:val="32"/>
          <w:szCs w:val="32"/>
          <w:highlight w:val="none"/>
          <w:lang w:val="en-US" w:eastAsia="zh-CN"/>
        </w:rPr>
        <w:t>；</w:t>
      </w:r>
      <w:r>
        <w:rPr>
          <w:rFonts w:hint="eastAsia" w:ascii="Times New Roman" w:hAnsi="Times New Roman" w:eastAsia="仿宋"/>
          <w:color w:val="auto"/>
          <w:sz w:val="32"/>
          <w:szCs w:val="32"/>
          <w:highlight w:val="none"/>
          <w:lang w:val="en-US"/>
        </w:rPr>
        <w:t>注重班主任管理提升</w:t>
      </w:r>
      <w:r>
        <w:rPr>
          <w:rFonts w:hint="eastAsia" w:ascii="Times New Roman" w:hAnsi="Times New Roman"/>
          <w:bCs w:val="0"/>
          <w:sz w:val="32"/>
          <w:szCs w:val="28"/>
          <w:lang w:val="en-US" w:eastAsia="zh-CN"/>
        </w:rPr>
        <w:t>。</w:t>
      </w:r>
    </w:p>
    <w:p w14:paraId="59F63656">
      <w:pPr>
        <w:pStyle w:val="6"/>
        <w:pageBreakBefore w:val="0"/>
        <w:numPr>
          <w:ilvl w:val="2"/>
          <w:numId w:val="0"/>
        </w:numPr>
        <w:kinsoku/>
        <w:wordWrap/>
        <w:overflowPunct/>
        <w:topLinePunct w:val="0"/>
        <w:autoSpaceDE/>
        <w:autoSpaceDN/>
        <w:bidi w:val="0"/>
        <w:adjustRightInd/>
        <w:spacing w:line="560" w:lineRule="exact"/>
        <w:ind w:leftChars="0" w:firstLine="643" w:firstLineChars="200"/>
        <w:rPr>
          <w:rFonts w:hint="default"/>
          <w:b/>
          <w:bCs w:val="0"/>
          <w:color w:val="auto"/>
          <w:lang w:val="en-US" w:eastAsia="zh-CN"/>
        </w:rPr>
      </w:pPr>
      <w:r>
        <w:rPr>
          <w:rFonts w:hint="eastAsia"/>
          <w:b/>
          <w:bCs w:val="0"/>
          <w:color w:val="auto"/>
          <w:lang w:val="en-US" w:eastAsia="zh-CN"/>
        </w:rPr>
        <w:t>4.提升教研教学工作</w:t>
      </w:r>
    </w:p>
    <w:p w14:paraId="70041BD5">
      <w:pPr>
        <w:pStyle w:val="4"/>
        <w:pageBreakBefore w:val="0"/>
        <w:wordWrap/>
        <w:overflowPunct/>
        <w:topLinePunct w:val="0"/>
        <w:bidi w:val="0"/>
        <w:spacing w:line="560" w:lineRule="exact"/>
        <w:ind w:firstLine="640" w:firstLineChars="200"/>
        <w:rPr>
          <w:rFonts w:hint="eastAsia"/>
          <w:lang w:val="en-US" w:eastAsia="zh-CN"/>
        </w:rPr>
      </w:pPr>
      <w:r>
        <w:rPr>
          <w:rFonts w:hint="eastAsia"/>
          <w:lang w:val="en-US" w:eastAsia="zh-CN"/>
        </w:rPr>
        <w:t>树立教学工作在学校工作的中心地位，教学质量在教学工作中的核心位置。要抓实课堂教学，抓活课程建设，抓牢课题研究。强化教学常规管理、推进课堂模式有效研讨、扎实开展教育科研活动、扎实开展教育科研活动、建设书香校园，营造读书氛围。</w:t>
      </w:r>
    </w:p>
    <w:p w14:paraId="19D7C301">
      <w:pPr>
        <w:pStyle w:val="6"/>
        <w:pageBreakBefore w:val="0"/>
        <w:numPr>
          <w:ilvl w:val="2"/>
          <w:numId w:val="0"/>
        </w:numPr>
        <w:wordWrap/>
        <w:overflowPunct/>
        <w:topLinePunct w:val="0"/>
        <w:bidi w:val="0"/>
        <w:spacing w:line="560" w:lineRule="exact"/>
        <w:ind w:firstLine="643"/>
        <w:rPr>
          <w:rFonts w:hint="eastAsia"/>
          <w:b/>
          <w:bCs w:val="0"/>
          <w:color w:val="auto"/>
          <w:lang w:val="en-US" w:eastAsia="zh-CN"/>
        </w:rPr>
      </w:pPr>
      <w:r>
        <w:rPr>
          <w:rFonts w:hint="eastAsia"/>
          <w:b/>
          <w:bCs w:val="0"/>
          <w:color w:val="auto"/>
          <w:lang w:val="en-US" w:eastAsia="zh-CN"/>
        </w:rPr>
        <w:t>5.增强队伍建设工作</w:t>
      </w:r>
    </w:p>
    <w:p w14:paraId="1A348D6C">
      <w:pPr>
        <w:pStyle w:val="4"/>
        <w:pageBreakBefore w:val="0"/>
        <w:wordWrap/>
        <w:overflowPunct/>
        <w:topLinePunct w:val="0"/>
        <w:bidi w:val="0"/>
        <w:spacing w:line="560" w:lineRule="exact"/>
        <w:ind w:firstLine="640" w:firstLineChars="200"/>
        <w:rPr>
          <w:rFonts w:hint="eastAsia"/>
          <w:lang w:val="en-US" w:eastAsia="zh-CN"/>
        </w:rPr>
      </w:pPr>
      <w:r>
        <w:rPr>
          <w:rFonts w:hint="eastAsia"/>
          <w:lang w:val="en-US" w:eastAsia="zh-CN"/>
        </w:rPr>
        <w:t>明确教师发展的精神内涵和策略路径，建立教师发展的激励导向，开展好青蓝结对和名师工作室活动，组建项目研究共同体，加强年轻教师的职业和学科素养提升。重点提升教师课堂教学技能和水平，开设教师讲坛和基本功培训。关心关爱职工，重在团队引领。</w:t>
      </w:r>
    </w:p>
    <w:p w14:paraId="5B7668C6">
      <w:pPr>
        <w:pStyle w:val="6"/>
        <w:pageBreakBefore w:val="0"/>
        <w:numPr>
          <w:ilvl w:val="2"/>
          <w:numId w:val="0"/>
        </w:numPr>
        <w:wordWrap/>
        <w:overflowPunct/>
        <w:topLinePunct w:val="0"/>
        <w:bidi w:val="0"/>
        <w:spacing w:line="560" w:lineRule="exact"/>
        <w:ind w:firstLine="643"/>
        <w:rPr>
          <w:rFonts w:hint="eastAsia"/>
          <w:b/>
          <w:bCs w:val="0"/>
          <w:color w:val="auto"/>
          <w:lang w:val="en-US" w:eastAsia="zh-CN"/>
        </w:rPr>
      </w:pPr>
      <w:r>
        <w:rPr>
          <w:rFonts w:hint="eastAsia"/>
          <w:b/>
          <w:bCs w:val="0"/>
          <w:color w:val="auto"/>
          <w:lang w:val="en-US" w:eastAsia="zh-CN"/>
        </w:rPr>
        <w:t>6.保障后勤服务工作</w:t>
      </w:r>
    </w:p>
    <w:p w14:paraId="4FCCC5FA">
      <w:pPr>
        <w:pStyle w:val="4"/>
        <w:pageBreakBefore w:val="0"/>
        <w:wordWrap/>
        <w:overflowPunct/>
        <w:topLinePunct w:val="0"/>
        <w:bidi w:val="0"/>
        <w:spacing w:line="560" w:lineRule="exact"/>
        <w:rPr>
          <w:rFonts w:hint="eastAsia"/>
          <w:lang w:val="en-US" w:eastAsia="zh-CN"/>
        </w:rPr>
      </w:pPr>
      <w:r>
        <w:rPr>
          <w:rFonts w:hint="eastAsia"/>
          <w:lang w:val="en-US" w:eastAsia="zh-CN"/>
        </w:rPr>
        <w:t>2021年需要完成校园文化和环境升级改造项目，建设主题式景观和人文景观，形成浓厚的立体环境文化。</w:t>
      </w:r>
    </w:p>
    <w:p w14:paraId="057DB9AD">
      <w:pPr>
        <w:pStyle w:val="3"/>
        <w:pageBreakBefore w:val="0"/>
        <w:numPr>
          <w:ilvl w:val="0"/>
          <w:numId w:val="0"/>
        </w:numPr>
        <w:kinsoku/>
        <w:wordWrap/>
        <w:overflowPunct/>
        <w:topLinePunct w:val="0"/>
        <w:autoSpaceDE/>
        <w:autoSpaceDN/>
        <w:bidi w:val="0"/>
        <w:spacing w:line="560" w:lineRule="exact"/>
        <w:ind w:leftChars="200"/>
        <w:rPr>
          <w:rFonts w:hint="eastAsia"/>
          <w:color w:val="auto"/>
          <w:szCs w:val="32"/>
        </w:rPr>
      </w:pPr>
      <w:bookmarkStart w:id="309" w:name="_Toc27346"/>
      <w:bookmarkStart w:id="310" w:name="_Toc32069"/>
      <w:bookmarkStart w:id="311" w:name="_Toc7332"/>
      <w:bookmarkStart w:id="312" w:name="_Toc21714"/>
      <w:bookmarkStart w:id="313" w:name="_Toc17403"/>
      <w:bookmarkStart w:id="314" w:name="_Toc14956"/>
      <w:bookmarkStart w:id="315" w:name="_Toc30638"/>
      <w:bookmarkStart w:id="316" w:name="_Toc31045"/>
      <w:r>
        <w:rPr>
          <w:rFonts w:hint="eastAsia"/>
          <w:color w:val="auto"/>
          <w:szCs w:val="32"/>
          <w:lang w:val="en-US" w:eastAsia="zh-CN"/>
        </w:rPr>
        <w:t>二、预算编制及执行</w:t>
      </w:r>
      <w:r>
        <w:rPr>
          <w:rFonts w:hint="eastAsia"/>
          <w:color w:val="auto"/>
          <w:szCs w:val="32"/>
        </w:rPr>
        <w:t>情况</w:t>
      </w:r>
      <w:bookmarkEnd w:id="309"/>
      <w:bookmarkEnd w:id="310"/>
      <w:bookmarkEnd w:id="311"/>
      <w:bookmarkEnd w:id="312"/>
      <w:bookmarkEnd w:id="313"/>
      <w:bookmarkEnd w:id="314"/>
      <w:bookmarkEnd w:id="315"/>
      <w:bookmarkEnd w:id="316"/>
    </w:p>
    <w:p w14:paraId="3DA55BDC">
      <w:pPr>
        <w:pStyle w:val="5"/>
        <w:pageBreakBefore w:val="0"/>
        <w:numPr>
          <w:ilvl w:val="1"/>
          <w:numId w:val="0"/>
        </w:numPr>
        <w:kinsoku/>
        <w:wordWrap/>
        <w:overflowPunct/>
        <w:topLinePunct w:val="0"/>
        <w:autoSpaceDE/>
        <w:autoSpaceDN/>
        <w:bidi w:val="0"/>
        <w:spacing w:line="560" w:lineRule="exact"/>
        <w:ind w:leftChars="0" w:firstLine="643" w:firstLineChars="200"/>
        <w:textAlignment w:val="auto"/>
        <w:rPr>
          <w:rFonts w:hint="eastAsia"/>
          <w:color w:val="auto"/>
          <w:lang w:val="en-US" w:eastAsia="zh-CN"/>
        </w:rPr>
      </w:pPr>
      <w:bookmarkStart w:id="317" w:name="_Toc14097"/>
      <w:bookmarkStart w:id="318" w:name="_Toc27728"/>
      <w:bookmarkStart w:id="319" w:name="_Toc11047"/>
      <w:bookmarkStart w:id="320" w:name="_Toc22313"/>
      <w:bookmarkStart w:id="321" w:name="_Toc3740"/>
      <w:bookmarkStart w:id="322" w:name="_Toc11064"/>
      <w:bookmarkStart w:id="323" w:name="_Toc4130"/>
      <w:bookmarkStart w:id="324" w:name="_Toc4201"/>
      <w:r>
        <w:rPr>
          <w:rFonts w:hint="eastAsia"/>
          <w:color w:val="auto"/>
          <w:lang w:val="en-US" w:eastAsia="zh-CN"/>
        </w:rPr>
        <w:t>（一）预算</w:t>
      </w:r>
      <w:r>
        <w:rPr>
          <w:rFonts w:hint="default"/>
          <w:color w:val="auto"/>
          <w:lang w:val="en-US" w:eastAsia="zh-CN"/>
        </w:rPr>
        <w:t>编制</w:t>
      </w:r>
      <w:r>
        <w:rPr>
          <w:rFonts w:hint="eastAsia"/>
          <w:color w:val="auto"/>
          <w:lang w:val="en-US" w:eastAsia="zh-CN"/>
        </w:rPr>
        <w:t>情况</w:t>
      </w:r>
      <w:bookmarkEnd w:id="317"/>
      <w:bookmarkEnd w:id="318"/>
      <w:bookmarkEnd w:id="319"/>
      <w:bookmarkEnd w:id="320"/>
      <w:bookmarkEnd w:id="321"/>
      <w:bookmarkEnd w:id="322"/>
      <w:bookmarkEnd w:id="323"/>
      <w:bookmarkEnd w:id="324"/>
    </w:p>
    <w:p w14:paraId="58E6ED49">
      <w:pPr>
        <w:pStyle w:val="6"/>
        <w:pageBreakBefore w:val="0"/>
        <w:kinsoku/>
        <w:wordWrap/>
        <w:overflowPunct/>
        <w:topLinePunct w:val="0"/>
        <w:autoSpaceDE/>
        <w:autoSpaceDN/>
        <w:bidi w:val="0"/>
        <w:adjustRightInd/>
        <w:spacing w:line="560" w:lineRule="exact"/>
        <w:ind w:firstLine="643" w:firstLineChars="200"/>
        <w:rPr>
          <w:rFonts w:hint="eastAsia"/>
          <w:b/>
          <w:bCs w:val="0"/>
          <w:color w:val="auto"/>
        </w:rPr>
      </w:pPr>
      <w:r>
        <w:rPr>
          <w:rFonts w:hint="eastAsia"/>
          <w:b/>
          <w:bCs w:val="0"/>
          <w:color w:val="auto"/>
        </w:rPr>
        <w:t>部门收入情况</w:t>
      </w:r>
    </w:p>
    <w:p w14:paraId="0BD2E88C">
      <w:pPr>
        <w:pStyle w:val="4"/>
        <w:pageBreakBefore w:val="0"/>
        <w:kinsoku/>
        <w:wordWrap/>
        <w:overflowPunct/>
        <w:topLinePunct w:val="0"/>
        <w:autoSpaceDE/>
        <w:autoSpaceDN/>
        <w:bidi w:val="0"/>
        <w:spacing w:line="560" w:lineRule="exact"/>
        <w:ind w:firstLine="640" w:firstLineChars="200"/>
        <w:textAlignment w:val="auto"/>
        <w:rPr>
          <w:rFonts w:hint="eastAsia" w:eastAsia="仿宋_GB2312"/>
          <w:color w:val="auto"/>
          <w:szCs w:val="32"/>
          <w:lang w:val="en-US" w:eastAsia="zh-CN"/>
        </w:rPr>
      </w:pPr>
      <w:r>
        <w:rPr>
          <w:rFonts w:hint="eastAsia"/>
          <w:color w:val="auto"/>
          <w:szCs w:val="32"/>
          <w:lang w:val="en-US" w:eastAsia="zh-CN"/>
        </w:rPr>
        <w:t>2021年，洋渡实验学校年初收入预算1,522.13万元，调整预算数为1,726.24万元，</w:t>
      </w:r>
      <w:r>
        <w:rPr>
          <w:color w:val="auto"/>
          <w:szCs w:val="32"/>
        </w:rPr>
        <w:t>决算</w:t>
      </w:r>
      <w:r>
        <w:rPr>
          <w:rFonts w:hint="eastAsia"/>
          <w:color w:val="auto"/>
          <w:szCs w:val="32"/>
          <w:lang w:val="en-US" w:eastAsia="zh-CN"/>
        </w:rPr>
        <w:t>数为</w:t>
      </w:r>
      <w:r>
        <w:rPr>
          <w:rFonts w:hint="eastAsia"/>
          <w:color w:val="auto"/>
          <w:szCs w:val="32"/>
        </w:rPr>
        <w:t>1</w:t>
      </w:r>
      <w:r>
        <w:rPr>
          <w:rFonts w:hint="eastAsia"/>
          <w:color w:val="auto"/>
          <w:szCs w:val="32"/>
          <w:lang w:val="en-US" w:eastAsia="zh-CN"/>
        </w:rPr>
        <w:t>,</w:t>
      </w:r>
      <w:r>
        <w:rPr>
          <w:rFonts w:hint="eastAsia"/>
          <w:color w:val="auto"/>
          <w:szCs w:val="32"/>
        </w:rPr>
        <w:t>691</w:t>
      </w:r>
      <w:r>
        <w:rPr>
          <w:rFonts w:hint="eastAsia"/>
          <w:color w:val="auto"/>
          <w:szCs w:val="32"/>
          <w:lang w:val="en-US" w:eastAsia="zh-CN"/>
        </w:rPr>
        <w:t>.</w:t>
      </w:r>
      <w:r>
        <w:rPr>
          <w:rFonts w:hint="eastAsia"/>
          <w:color w:val="auto"/>
          <w:szCs w:val="32"/>
        </w:rPr>
        <w:t>23</w:t>
      </w:r>
      <w:r>
        <w:rPr>
          <w:color w:val="auto"/>
          <w:szCs w:val="32"/>
        </w:rPr>
        <w:t>万元。</w:t>
      </w:r>
      <w:r>
        <w:rPr>
          <w:rFonts w:hint="eastAsia"/>
          <w:color w:val="auto"/>
          <w:szCs w:val="32"/>
          <w:lang w:val="en-US" w:eastAsia="zh-CN"/>
        </w:rPr>
        <w:t>收入来源为</w:t>
      </w:r>
      <w:r>
        <w:rPr>
          <w:color w:val="auto"/>
          <w:szCs w:val="32"/>
        </w:rPr>
        <w:t>一般公共预算财政拨款</w:t>
      </w:r>
      <w:r>
        <w:rPr>
          <w:rFonts w:hint="eastAsia"/>
          <w:color w:val="auto"/>
          <w:szCs w:val="32"/>
          <w:lang w:eastAsia="zh-CN"/>
        </w:rPr>
        <w:t>。</w:t>
      </w:r>
    </w:p>
    <w:p w14:paraId="7E39E0BD">
      <w:pPr>
        <w:pStyle w:val="6"/>
        <w:pageBreakBefore w:val="0"/>
        <w:kinsoku/>
        <w:wordWrap/>
        <w:overflowPunct/>
        <w:topLinePunct w:val="0"/>
        <w:autoSpaceDE/>
        <w:autoSpaceDN/>
        <w:bidi w:val="0"/>
        <w:adjustRightInd/>
        <w:spacing w:line="560" w:lineRule="exact"/>
        <w:ind w:firstLine="643" w:firstLineChars="200"/>
        <w:rPr>
          <w:rFonts w:hint="eastAsia"/>
          <w:b/>
          <w:bCs w:val="0"/>
          <w:color w:val="auto"/>
        </w:rPr>
      </w:pPr>
      <w:r>
        <w:rPr>
          <w:rFonts w:hint="eastAsia"/>
          <w:b/>
          <w:bCs w:val="0"/>
          <w:color w:val="auto"/>
        </w:rPr>
        <w:t>部门支出</w:t>
      </w:r>
      <w:r>
        <w:rPr>
          <w:rFonts w:hint="eastAsia"/>
          <w:b/>
          <w:bCs w:val="0"/>
          <w:color w:val="auto"/>
          <w:lang w:val="en-US" w:eastAsia="zh-CN"/>
        </w:rPr>
        <w:t>及预算执行</w:t>
      </w:r>
      <w:r>
        <w:rPr>
          <w:rFonts w:hint="eastAsia"/>
          <w:b/>
          <w:bCs w:val="0"/>
          <w:color w:val="auto"/>
        </w:rPr>
        <w:t>情况</w:t>
      </w:r>
    </w:p>
    <w:p w14:paraId="644931D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
          <w:color w:val="auto"/>
          <w:sz w:val="32"/>
          <w:szCs w:val="32"/>
          <w:lang w:val="en-US" w:eastAsia="zh-CN"/>
        </w:rPr>
      </w:pPr>
      <w:r>
        <w:rPr>
          <w:rFonts w:hint="eastAsia" w:ascii="Times New Roman" w:hAnsi="Times New Roman" w:eastAsia="仿宋"/>
          <w:color w:val="auto"/>
          <w:sz w:val="32"/>
          <w:szCs w:val="32"/>
          <w:lang w:val="en-US" w:eastAsia="zh-CN"/>
        </w:rPr>
        <w:t>2021年，洋渡实验学校年初支出预算1,522.13万元（其中：基本支出1,383.41万元，项目支出138.72万元）；调整预算为1726.24万元（其中：基本支出1,408.85万元，项目支出317.39万元）；决算1,691.24万元（其中：基本支出1,569.38万元，项目支出121.85万元）。</w:t>
      </w:r>
    </w:p>
    <w:p w14:paraId="0DD036F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color w:val="auto"/>
        </w:rPr>
      </w:pPr>
      <w:r>
        <w:rPr>
          <w:rFonts w:hint="eastAsia" w:ascii="Times New Roman" w:hAnsi="Times New Roman" w:eastAsia="仿宋"/>
          <w:color w:val="auto"/>
          <w:sz w:val="32"/>
          <w:szCs w:val="32"/>
          <w:lang w:val="en-US" w:eastAsia="zh-CN"/>
        </w:rPr>
        <w:t>2021年收入预算执行进度97.97%。具体支出预决算情况见表1，项目支出明细见表2：</w:t>
      </w:r>
    </w:p>
    <w:p w14:paraId="5510FD90">
      <w:pPr>
        <w:pStyle w:val="12"/>
        <w:keepNext w:val="0"/>
        <w:keepLines w:val="0"/>
        <w:pageBreakBefore w:val="0"/>
        <w:widowControl w:val="0"/>
        <w:kinsoku/>
        <w:wordWrap/>
        <w:overflowPunct/>
        <w:topLinePunct w:val="0"/>
        <w:autoSpaceDE/>
        <w:autoSpaceDN/>
        <w:bidi w:val="0"/>
        <w:adjustRightInd/>
        <w:snapToGrid w:val="0"/>
        <w:spacing w:before="60" w:after="60" w:line="560" w:lineRule="exact"/>
        <w:ind w:left="0" w:leftChars="0" w:right="0" w:rightChars="0" w:firstLine="482" w:firstLineChars="200"/>
        <w:textAlignment w:val="auto"/>
        <w:outlineLvl w:val="9"/>
        <w:rPr>
          <w:rFonts w:hint="eastAsia"/>
          <w:color w:val="auto"/>
        </w:rPr>
        <w:sectPr>
          <w:footerReference r:id="rId7" w:type="default"/>
          <w:pgSz w:w="11906" w:h="16838"/>
          <w:pgMar w:top="1440" w:right="1489" w:bottom="1440" w:left="1797" w:header="851" w:footer="992" w:gutter="0"/>
          <w:pgNumType w:fmt="decimal" w:start="1"/>
          <w:cols w:space="425" w:num="1"/>
          <w:docGrid w:type="lines" w:linePitch="312" w:charSpace="0"/>
        </w:sectPr>
      </w:pPr>
    </w:p>
    <w:p w14:paraId="076B3971">
      <w:pPr>
        <w:pStyle w:val="12"/>
        <w:keepNext w:val="0"/>
        <w:keepLines w:val="0"/>
        <w:pageBreakBefore w:val="0"/>
        <w:widowControl w:val="0"/>
        <w:kinsoku/>
        <w:wordWrap/>
        <w:overflowPunct/>
        <w:topLinePunct w:val="0"/>
        <w:autoSpaceDE/>
        <w:autoSpaceDN/>
        <w:bidi w:val="0"/>
        <w:adjustRightInd/>
        <w:snapToGrid w:val="0"/>
        <w:spacing w:before="60" w:after="60" w:line="560" w:lineRule="exact"/>
        <w:ind w:left="0" w:leftChars="0" w:right="0" w:rightChars="0" w:firstLine="482" w:firstLineChars="200"/>
        <w:textAlignment w:val="auto"/>
        <w:outlineLvl w:val="9"/>
        <w:rPr>
          <w:color w:val="auto"/>
        </w:rPr>
      </w:pPr>
      <w:r>
        <w:rPr>
          <w:rFonts w:hint="eastAsia"/>
          <w:color w:val="auto"/>
        </w:rPr>
        <w:t>表</w:t>
      </w:r>
      <w:r>
        <w:rPr>
          <w:rFonts w:hint="eastAsia"/>
          <w:color w:val="auto"/>
          <w:lang w:val="en-US" w:eastAsia="zh-CN"/>
        </w:rPr>
        <w:t>1</w:t>
      </w:r>
      <w:r>
        <w:rPr>
          <w:color w:val="auto"/>
        </w:rPr>
        <w:t xml:space="preserve">  20</w:t>
      </w:r>
      <w:r>
        <w:rPr>
          <w:rFonts w:hint="eastAsia"/>
          <w:color w:val="auto"/>
          <w:lang w:val="en-US" w:eastAsia="zh-CN"/>
        </w:rPr>
        <w:t>21</w:t>
      </w:r>
      <w:r>
        <w:rPr>
          <w:color w:val="auto"/>
        </w:rPr>
        <w:t>年</w:t>
      </w:r>
      <w:r>
        <w:rPr>
          <w:rFonts w:hint="eastAsia"/>
          <w:color w:val="auto"/>
          <w:lang w:val="en-US" w:eastAsia="zh-CN"/>
        </w:rPr>
        <w:t>洋渡实验学校支出</w:t>
      </w:r>
      <w:r>
        <w:rPr>
          <w:color w:val="auto"/>
        </w:rPr>
        <w:t>预决算情况表</w:t>
      </w:r>
    </w:p>
    <w:p w14:paraId="64F47A6E">
      <w:pPr>
        <w:pStyle w:val="12"/>
        <w:keepNext w:val="0"/>
        <w:keepLines w:val="0"/>
        <w:pageBreakBefore w:val="0"/>
        <w:widowControl w:val="0"/>
        <w:kinsoku/>
        <w:wordWrap/>
        <w:overflowPunct/>
        <w:topLinePunct w:val="0"/>
        <w:autoSpaceDE/>
        <w:autoSpaceDN/>
        <w:bidi w:val="0"/>
        <w:adjustRightInd/>
        <w:snapToGrid w:val="0"/>
        <w:spacing w:before="60" w:after="60" w:line="560" w:lineRule="exact"/>
        <w:ind w:left="0" w:leftChars="0" w:right="0" w:rightChars="0" w:firstLine="480" w:firstLineChars="200"/>
        <w:jc w:val="right"/>
        <w:textAlignment w:val="auto"/>
        <w:outlineLvl w:val="9"/>
        <w:rPr>
          <w:b w:val="0"/>
          <w:bCs/>
          <w:color w:val="auto"/>
        </w:rPr>
      </w:pPr>
      <w:r>
        <w:rPr>
          <w:rFonts w:hint="eastAsia"/>
          <w:b w:val="0"/>
          <w:bCs/>
          <w:color w:val="auto"/>
        </w:rPr>
        <w:t>单位</w:t>
      </w:r>
      <w:r>
        <w:rPr>
          <w:b w:val="0"/>
          <w:bCs/>
          <w:color w:val="auto"/>
        </w:rPr>
        <w:t>：万元</w:t>
      </w:r>
    </w:p>
    <w:tbl>
      <w:tblPr>
        <w:tblStyle w:val="10"/>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2"/>
        <w:gridCol w:w="1768"/>
        <w:gridCol w:w="1768"/>
        <w:gridCol w:w="1768"/>
        <w:gridCol w:w="1768"/>
      </w:tblGrid>
      <w:tr w14:paraId="0DAD2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762" w:type="dxa"/>
            <w:vAlign w:val="center"/>
          </w:tcPr>
          <w:p w14:paraId="22ED2477">
            <w:pPr>
              <w:keepNext w:val="0"/>
              <w:keepLines w:val="0"/>
              <w:pageBreakBefore w:val="0"/>
              <w:widowControl/>
              <w:suppressLineNumbers w:val="0"/>
              <w:wordWrap/>
              <w:overflowPunct/>
              <w:topLinePunct w:val="0"/>
              <w:bidi w:val="0"/>
              <w:spacing w:line="560" w:lineRule="exact"/>
              <w:jc w:val="center"/>
              <w:textAlignment w:val="center"/>
              <w:rPr>
                <w:rFonts w:ascii="Times New Roman" w:hAnsi="Times New Roman" w:eastAsia="宋体" w:cs="宋体"/>
                <w:b/>
                <w:bCs w:val="0"/>
                <w:color w:val="auto"/>
                <w:kern w:val="0"/>
                <w:sz w:val="22"/>
                <w:szCs w:val="22"/>
                <w:lang w:val="zh-CN" w:eastAsia="zh-CN" w:bidi="ar-SA"/>
              </w:rPr>
            </w:pPr>
            <w:r>
              <w:rPr>
                <w:rFonts w:hint="eastAsia" w:ascii="宋体" w:hAnsi="宋体" w:eastAsia="宋体" w:cs="宋体"/>
                <w:b/>
                <w:bCs/>
                <w:i w:val="0"/>
                <w:iCs w:val="0"/>
                <w:color w:val="000000"/>
                <w:kern w:val="0"/>
                <w:sz w:val="22"/>
                <w:szCs w:val="22"/>
                <w:u w:val="none"/>
                <w:lang w:val="en-US" w:eastAsia="zh-CN" w:bidi="ar"/>
              </w:rPr>
              <w:t>类别</w:t>
            </w:r>
          </w:p>
        </w:tc>
        <w:tc>
          <w:tcPr>
            <w:tcW w:w="1768" w:type="dxa"/>
            <w:vAlign w:val="center"/>
          </w:tcPr>
          <w:p w14:paraId="755EBE38">
            <w:pPr>
              <w:keepNext w:val="0"/>
              <w:keepLines w:val="0"/>
              <w:pageBreakBefore w:val="0"/>
              <w:widowControl/>
              <w:suppressLineNumbers w:val="0"/>
              <w:wordWrap/>
              <w:overflowPunct/>
              <w:topLinePunct w:val="0"/>
              <w:bidi w:val="0"/>
              <w:spacing w:line="560" w:lineRule="exact"/>
              <w:jc w:val="center"/>
              <w:textAlignment w:val="center"/>
              <w:rPr>
                <w:rFonts w:ascii="Times New Roman" w:hAnsi="Times New Roman" w:eastAsia="宋体" w:cs="宋体"/>
                <w:b/>
                <w:bCs w:val="0"/>
                <w:color w:val="auto"/>
                <w:kern w:val="0"/>
                <w:sz w:val="22"/>
                <w:szCs w:val="22"/>
                <w:lang w:val="zh-CN" w:eastAsia="zh-CN" w:bidi="ar-SA"/>
              </w:rPr>
            </w:pPr>
            <w:r>
              <w:rPr>
                <w:rFonts w:hint="eastAsia" w:ascii="宋体" w:hAnsi="宋体" w:eastAsia="宋体" w:cs="宋体"/>
                <w:b/>
                <w:bCs/>
                <w:i w:val="0"/>
                <w:iCs w:val="0"/>
                <w:color w:val="000000"/>
                <w:kern w:val="0"/>
                <w:sz w:val="22"/>
                <w:szCs w:val="22"/>
                <w:u w:val="none"/>
                <w:lang w:val="en-US" w:eastAsia="zh-CN" w:bidi="ar"/>
              </w:rPr>
              <w:t>预算数</w:t>
            </w:r>
          </w:p>
        </w:tc>
        <w:tc>
          <w:tcPr>
            <w:tcW w:w="1768" w:type="dxa"/>
            <w:vAlign w:val="center"/>
          </w:tcPr>
          <w:p w14:paraId="403EC0DB">
            <w:pPr>
              <w:keepNext w:val="0"/>
              <w:keepLines w:val="0"/>
              <w:pageBreakBefore w:val="0"/>
              <w:widowControl/>
              <w:suppressLineNumbers w:val="0"/>
              <w:wordWrap/>
              <w:overflowPunct/>
              <w:topLinePunct w:val="0"/>
              <w:bidi w:val="0"/>
              <w:spacing w:line="560" w:lineRule="exact"/>
              <w:jc w:val="center"/>
              <w:textAlignment w:val="center"/>
              <w:rPr>
                <w:rFonts w:hint="default" w:ascii="Times New Roman" w:hAnsi="Times New Roman" w:eastAsia="宋体" w:cs="宋体"/>
                <w:b/>
                <w:bCs w:val="0"/>
                <w:color w:val="auto"/>
                <w:kern w:val="0"/>
                <w:sz w:val="22"/>
                <w:szCs w:val="22"/>
                <w:lang w:val="en-US" w:eastAsia="zh-CN" w:bidi="ar-SA"/>
              </w:rPr>
            </w:pPr>
            <w:r>
              <w:rPr>
                <w:rFonts w:hint="eastAsia" w:ascii="宋体" w:hAnsi="宋体" w:eastAsia="宋体" w:cs="宋体"/>
                <w:b/>
                <w:bCs/>
                <w:i w:val="0"/>
                <w:iCs w:val="0"/>
                <w:color w:val="000000"/>
                <w:kern w:val="0"/>
                <w:sz w:val="22"/>
                <w:szCs w:val="22"/>
                <w:u w:val="none"/>
                <w:lang w:val="en-US" w:eastAsia="zh-CN" w:bidi="ar"/>
              </w:rPr>
              <w:t>调整数</w:t>
            </w:r>
          </w:p>
        </w:tc>
        <w:tc>
          <w:tcPr>
            <w:tcW w:w="1768" w:type="dxa"/>
            <w:vAlign w:val="center"/>
          </w:tcPr>
          <w:p w14:paraId="7EE25615">
            <w:pPr>
              <w:keepNext w:val="0"/>
              <w:keepLines w:val="0"/>
              <w:pageBreakBefore w:val="0"/>
              <w:widowControl/>
              <w:suppressLineNumbers w:val="0"/>
              <w:wordWrap/>
              <w:overflowPunct/>
              <w:topLinePunct w:val="0"/>
              <w:bidi w:val="0"/>
              <w:spacing w:line="560" w:lineRule="exact"/>
              <w:jc w:val="center"/>
              <w:textAlignment w:val="center"/>
              <w:rPr>
                <w:rFonts w:ascii="Times New Roman" w:hAnsi="Times New Roman" w:eastAsia="宋体" w:cs="宋体"/>
                <w:b/>
                <w:bCs w:val="0"/>
                <w:color w:val="auto"/>
                <w:kern w:val="0"/>
                <w:sz w:val="22"/>
                <w:szCs w:val="22"/>
                <w:lang w:val="zh-CN" w:eastAsia="zh-CN" w:bidi="ar-SA"/>
              </w:rPr>
            </w:pPr>
            <w:r>
              <w:rPr>
                <w:rFonts w:hint="eastAsia" w:ascii="宋体" w:hAnsi="宋体" w:eastAsia="宋体" w:cs="宋体"/>
                <w:b/>
                <w:bCs/>
                <w:i w:val="0"/>
                <w:iCs w:val="0"/>
                <w:color w:val="000000"/>
                <w:kern w:val="0"/>
                <w:sz w:val="22"/>
                <w:szCs w:val="22"/>
                <w:u w:val="none"/>
                <w:lang w:val="en-US" w:eastAsia="zh-CN" w:bidi="ar"/>
              </w:rPr>
              <w:t>决算数</w:t>
            </w:r>
          </w:p>
        </w:tc>
        <w:tc>
          <w:tcPr>
            <w:tcW w:w="1768" w:type="dxa"/>
            <w:vAlign w:val="center"/>
          </w:tcPr>
          <w:p w14:paraId="1B90F412">
            <w:pPr>
              <w:keepNext w:val="0"/>
              <w:keepLines w:val="0"/>
              <w:pageBreakBefore w:val="0"/>
              <w:widowControl/>
              <w:suppressLineNumbers w:val="0"/>
              <w:wordWrap/>
              <w:overflowPunct/>
              <w:topLinePunct w:val="0"/>
              <w:bidi w:val="0"/>
              <w:spacing w:line="560" w:lineRule="exact"/>
              <w:jc w:val="center"/>
              <w:textAlignment w:val="center"/>
              <w:rPr>
                <w:rFonts w:hint="eastAsia" w:ascii="Times New Roman" w:hAnsi="Times New Roman" w:eastAsia="宋体" w:cs="宋体"/>
                <w:b/>
                <w:bCs w:val="0"/>
                <w:color w:val="auto"/>
                <w:kern w:val="0"/>
                <w:sz w:val="22"/>
                <w:szCs w:val="22"/>
                <w:lang w:val="en-US" w:eastAsia="zh-Hans" w:bidi="ar-SA"/>
              </w:rPr>
            </w:pPr>
            <w:r>
              <w:rPr>
                <w:rFonts w:hint="eastAsia" w:ascii="宋体" w:hAnsi="宋体" w:eastAsia="宋体" w:cs="宋体"/>
                <w:b/>
                <w:bCs/>
                <w:i w:val="0"/>
                <w:iCs w:val="0"/>
                <w:color w:val="000000"/>
                <w:kern w:val="0"/>
                <w:sz w:val="22"/>
                <w:szCs w:val="22"/>
                <w:u w:val="none"/>
                <w:lang w:val="en-US" w:eastAsia="zh-CN" w:bidi="ar"/>
              </w:rPr>
              <w:t>预算执行率</w:t>
            </w:r>
          </w:p>
        </w:tc>
      </w:tr>
      <w:tr w14:paraId="12274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762" w:type="dxa"/>
            <w:vAlign w:val="center"/>
          </w:tcPr>
          <w:p w14:paraId="6740DC75">
            <w:pPr>
              <w:keepNext w:val="0"/>
              <w:keepLines w:val="0"/>
              <w:pageBreakBefore w:val="0"/>
              <w:widowControl/>
              <w:suppressLineNumbers w:val="0"/>
              <w:wordWrap/>
              <w:overflowPunct/>
              <w:topLinePunct w:val="0"/>
              <w:bidi w:val="0"/>
              <w:spacing w:line="560" w:lineRule="exact"/>
              <w:jc w:val="center"/>
              <w:textAlignment w:val="center"/>
              <w:rPr>
                <w:rFonts w:ascii="Times New Roman" w:hAnsi="Times New Roman" w:eastAsia="宋体" w:cs="宋体"/>
                <w:bCs/>
                <w:color w:val="auto"/>
                <w:kern w:val="0"/>
                <w:sz w:val="22"/>
                <w:szCs w:val="22"/>
                <w:lang w:val="zh-CN" w:eastAsia="zh-CN" w:bidi="ar-SA"/>
              </w:rPr>
            </w:pPr>
            <w:r>
              <w:rPr>
                <w:rFonts w:hint="eastAsia" w:ascii="宋体" w:hAnsi="宋体" w:eastAsia="宋体" w:cs="宋体"/>
                <w:i w:val="0"/>
                <w:iCs w:val="0"/>
                <w:color w:val="000000"/>
                <w:kern w:val="0"/>
                <w:sz w:val="22"/>
                <w:szCs w:val="22"/>
                <w:u w:val="none"/>
                <w:lang w:val="en-US" w:eastAsia="zh-CN" w:bidi="ar"/>
              </w:rPr>
              <w:t>基本支出</w:t>
            </w:r>
          </w:p>
        </w:tc>
        <w:tc>
          <w:tcPr>
            <w:tcW w:w="1768" w:type="dxa"/>
            <w:vAlign w:val="center"/>
          </w:tcPr>
          <w:p w14:paraId="0FE8BB53">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 xml:space="preserve">1,383.42 </w:t>
            </w:r>
          </w:p>
        </w:tc>
        <w:tc>
          <w:tcPr>
            <w:tcW w:w="1768" w:type="dxa"/>
            <w:vAlign w:val="center"/>
          </w:tcPr>
          <w:p w14:paraId="5A0CFABF">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 xml:space="preserve">1,408.85 </w:t>
            </w:r>
          </w:p>
        </w:tc>
        <w:tc>
          <w:tcPr>
            <w:tcW w:w="1768" w:type="dxa"/>
            <w:vAlign w:val="center"/>
          </w:tcPr>
          <w:p w14:paraId="78728F7F">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 xml:space="preserve">1,408.85 </w:t>
            </w:r>
          </w:p>
        </w:tc>
        <w:tc>
          <w:tcPr>
            <w:tcW w:w="1768" w:type="dxa"/>
            <w:vAlign w:val="center"/>
          </w:tcPr>
          <w:p w14:paraId="5EA95DA7">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100.00%</w:t>
            </w:r>
          </w:p>
        </w:tc>
      </w:tr>
      <w:tr w14:paraId="2E80E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762" w:type="dxa"/>
            <w:vAlign w:val="center"/>
          </w:tcPr>
          <w:p w14:paraId="714DFBFB">
            <w:pPr>
              <w:keepNext w:val="0"/>
              <w:keepLines w:val="0"/>
              <w:pageBreakBefore w:val="0"/>
              <w:widowControl/>
              <w:suppressLineNumbers w:val="0"/>
              <w:wordWrap/>
              <w:overflowPunct/>
              <w:topLinePunct w:val="0"/>
              <w:bidi w:val="0"/>
              <w:spacing w:line="560" w:lineRule="exact"/>
              <w:jc w:val="center"/>
              <w:textAlignment w:val="center"/>
              <w:rPr>
                <w:rFonts w:ascii="Times New Roman" w:hAnsi="Times New Roman" w:eastAsia="宋体" w:cs="宋体"/>
                <w:bCs/>
                <w:color w:val="auto"/>
                <w:kern w:val="0"/>
                <w:sz w:val="22"/>
                <w:szCs w:val="22"/>
                <w:lang w:val="zh-CN" w:eastAsia="zh-CN" w:bidi="ar-SA"/>
              </w:rPr>
            </w:pPr>
            <w:r>
              <w:rPr>
                <w:rFonts w:hint="eastAsia" w:ascii="宋体" w:hAnsi="宋体" w:eastAsia="宋体" w:cs="宋体"/>
                <w:i w:val="0"/>
                <w:iCs w:val="0"/>
                <w:color w:val="000000"/>
                <w:kern w:val="0"/>
                <w:sz w:val="22"/>
                <w:szCs w:val="22"/>
                <w:u w:val="none"/>
                <w:lang w:val="en-US" w:eastAsia="zh-CN" w:bidi="ar"/>
              </w:rPr>
              <w:t>项目支出</w:t>
            </w:r>
          </w:p>
        </w:tc>
        <w:tc>
          <w:tcPr>
            <w:tcW w:w="1768" w:type="dxa"/>
            <w:vAlign w:val="center"/>
          </w:tcPr>
          <w:p w14:paraId="5A19EA71">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 xml:space="preserve">138.72 </w:t>
            </w:r>
          </w:p>
        </w:tc>
        <w:tc>
          <w:tcPr>
            <w:tcW w:w="1768" w:type="dxa"/>
            <w:vAlign w:val="center"/>
          </w:tcPr>
          <w:p w14:paraId="371A9494">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zh-CN" w:eastAsia="zh-CN" w:bidi="ar"/>
              </w:rPr>
            </w:pPr>
            <w:r>
              <w:rPr>
                <w:rFonts w:hint="eastAsia" w:ascii="仿宋" w:hAnsi="仿宋" w:eastAsia="仿宋" w:cs="仿宋"/>
                <w:i w:val="0"/>
                <w:iCs w:val="0"/>
                <w:color w:val="000000"/>
                <w:kern w:val="0"/>
                <w:sz w:val="22"/>
                <w:szCs w:val="22"/>
                <w:u w:val="none"/>
                <w:lang w:val="en-US" w:eastAsia="zh-CN" w:bidi="ar"/>
              </w:rPr>
              <w:t xml:space="preserve">317.39 </w:t>
            </w:r>
          </w:p>
        </w:tc>
        <w:tc>
          <w:tcPr>
            <w:tcW w:w="1768" w:type="dxa"/>
            <w:vAlign w:val="center"/>
          </w:tcPr>
          <w:p w14:paraId="4A5A01B8">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zh-CN" w:eastAsia="zh-CN" w:bidi="ar"/>
              </w:rPr>
            </w:pPr>
            <w:r>
              <w:rPr>
                <w:rFonts w:hint="eastAsia" w:ascii="仿宋" w:hAnsi="仿宋" w:eastAsia="仿宋" w:cs="仿宋"/>
                <w:i w:val="0"/>
                <w:iCs w:val="0"/>
                <w:color w:val="000000"/>
                <w:kern w:val="0"/>
                <w:sz w:val="22"/>
                <w:szCs w:val="22"/>
                <w:u w:val="none"/>
                <w:lang w:val="en-US" w:eastAsia="zh-CN" w:bidi="ar"/>
              </w:rPr>
              <w:t xml:space="preserve">282.38 </w:t>
            </w:r>
          </w:p>
        </w:tc>
        <w:tc>
          <w:tcPr>
            <w:tcW w:w="1768" w:type="dxa"/>
            <w:vAlign w:val="center"/>
          </w:tcPr>
          <w:p w14:paraId="65199462">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zh-CN" w:eastAsia="zh-CN" w:bidi="ar"/>
              </w:rPr>
            </w:pPr>
            <w:r>
              <w:rPr>
                <w:rFonts w:hint="eastAsia" w:ascii="仿宋" w:hAnsi="仿宋" w:eastAsia="仿宋" w:cs="仿宋"/>
                <w:i w:val="0"/>
                <w:iCs w:val="0"/>
                <w:color w:val="000000"/>
                <w:kern w:val="0"/>
                <w:sz w:val="22"/>
                <w:szCs w:val="22"/>
                <w:u w:val="none"/>
                <w:lang w:val="en-US" w:eastAsia="zh-CN" w:bidi="ar"/>
              </w:rPr>
              <w:t>88.97%</w:t>
            </w:r>
          </w:p>
        </w:tc>
      </w:tr>
      <w:tr w14:paraId="7BB09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762" w:type="dxa"/>
            <w:vAlign w:val="center"/>
          </w:tcPr>
          <w:p w14:paraId="729AE6C7">
            <w:pPr>
              <w:keepNext w:val="0"/>
              <w:keepLines w:val="0"/>
              <w:pageBreakBefore w:val="0"/>
              <w:widowControl/>
              <w:suppressLineNumbers w:val="0"/>
              <w:wordWrap/>
              <w:overflowPunct/>
              <w:topLinePunct w:val="0"/>
              <w:bidi w:val="0"/>
              <w:spacing w:line="560" w:lineRule="exact"/>
              <w:jc w:val="center"/>
              <w:textAlignment w:val="center"/>
              <w:rPr>
                <w:rFonts w:hint="default" w:ascii="Times New Roman" w:hAnsi="Times New Roman" w:eastAsia="宋体" w:cs="宋体"/>
                <w:bCs/>
                <w:color w:val="auto"/>
                <w:kern w:val="0"/>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合计</w:t>
            </w:r>
          </w:p>
        </w:tc>
        <w:tc>
          <w:tcPr>
            <w:tcW w:w="1768" w:type="dxa"/>
            <w:vAlign w:val="center"/>
          </w:tcPr>
          <w:p w14:paraId="00740425">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 xml:space="preserve">1,522.14 </w:t>
            </w:r>
          </w:p>
        </w:tc>
        <w:tc>
          <w:tcPr>
            <w:tcW w:w="1768" w:type="dxa"/>
            <w:vAlign w:val="center"/>
          </w:tcPr>
          <w:p w14:paraId="4D3B4DC6">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 xml:space="preserve">1,726.24 </w:t>
            </w:r>
          </w:p>
        </w:tc>
        <w:tc>
          <w:tcPr>
            <w:tcW w:w="1768" w:type="dxa"/>
            <w:vAlign w:val="center"/>
          </w:tcPr>
          <w:p w14:paraId="10E2B060">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 xml:space="preserve">1,691.24 </w:t>
            </w:r>
          </w:p>
        </w:tc>
        <w:tc>
          <w:tcPr>
            <w:tcW w:w="1768" w:type="dxa"/>
            <w:vAlign w:val="center"/>
          </w:tcPr>
          <w:p w14:paraId="3541C8CB">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97.97%</w:t>
            </w:r>
          </w:p>
        </w:tc>
      </w:tr>
    </w:tbl>
    <w:p w14:paraId="004D23A5">
      <w:pPr>
        <w:pStyle w:val="12"/>
        <w:pageBreakBefore w:val="0"/>
        <w:kinsoku/>
        <w:wordWrap/>
        <w:overflowPunct/>
        <w:topLinePunct w:val="0"/>
        <w:autoSpaceDE/>
        <w:autoSpaceDN/>
        <w:bidi w:val="0"/>
        <w:snapToGrid w:val="0"/>
        <w:spacing w:before="60" w:line="560" w:lineRule="exact"/>
        <w:ind w:left="0" w:leftChars="0" w:firstLine="482" w:firstLineChars="200"/>
        <w:outlineLvl w:val="9"/>
        <w:rPr>
          <w:rFonts w:hint="eastAsia"/>
          <w:color w:val="auto"/>
        </w:rPr>
      </w:pPr>
    </w:p>
    <w:p w14:paraId="5E47E2C5">
      <w:pPr>
        <w:pStyle w:val="12"/>
        <w:pageBreakBefore w:val="0"/>
        <w:kinsoku/>
        <w:wordWrap/>
        <w:overflowPunct/>
        <w:topLinePunct w:val="0"/>
        <w:autoSpaceDE/>
        <w:autoSpaceDN/>
        <w:bidi w:val="0"/>
        <w:snapToGrid w:val="0"/>
        <w:spacing w:before="60" w:line="560" w:lineRule="exact"/>
        <w:ind w:left="0" w:leftChars="0" w:firstLine="482" w:firstLineChars="200"/>
        <w:outlineLvl w:val="9"/>
        <w:rPr>
          <w:rFonts w:hint="eastAsia"/>
          <w:color w:val="auto"/>
        </w:rPr>
      </w:pPr>
      <w:r>
        <w:rPr>
          <w:rFonts w:hint="eastAsia"/>
          <w:color w:val="auto"/>
        </w:rPr>
        <w:t>表</w:t>
      </w:r>
      <w:r>
        <w:rPr>
          <w:rFonts w:hint="eastAsia"/>
          <w:color w:val="auto"/>
          <w:lang w:val="en-US" w:eastAsia="zh-CN"/>
        </w:rPr>
        <w:t xml:space="preserve">2 </w:t>
      </w:r>
      <w:r>
        <w:rPr>
          <w:color w:val="auto"/>
        </w:rPr>
        <w:t xml:space="preserve"> 20</w:t>
      </w:r>
      <w:r>
        <w:rPr>
          <w:rFonts w:hint="eastAsia"/>
          <w:color w:val="auto"/>
          <w:lang w:val="en-US" w:eastAsia="zh-CN"/>
        </w:rPr>
        <w:t>21</w:t>
      </w:r>
      <w:r>
        <w:rPr>
          <w:color w:val="auto"/>
        </w:rPr>
        <w:t>年</w:t>
      </w:r>
      <w:r>
        <w:rPr>
          <w:rFonts w:hint="eastAsia"/>
          <w:color w:val="auto"/>
          <w:lang w:val="en-US" w:eastAsia="zh-CN"/>
        </w:rPr>
        <w:t>洋渡实验学校</w:t>
      </w:r>
      <w:r>
        <w:rPr>
          <w:rFonts w:hint="eastAsia"/>
          <w:color w:val="auto"/>
        </w:rPr>
        <w:t>项目支出明细表</w:t>
      </w:r>
    </w:p>
    <w:p w14:paraId="3A26E6ED">
      <w:pPr>
        <w:pStyle w:val="12"/>
        <w:pageBreakBefore w:val="0"/>
        <w:kinsoku/>
        <w:wordWrap/>
        <w:overflowPunct/>
        <w:topLinePunct w:val="0"/>
        <w:autoSpaceDE/>
        <w:autoSpaceDN/>
        <w:bidi w:val="0"/>
        <w:snapToGrid w:val="0"/>
        <w:spacing w:before="60" w:line="560" w:lineRule="exact"/>
        <w:ind w:left="0" w:leftChars="0" w:firstLine="480" w:firstLineChars="200"/>
        <w:jc w:val="right"/>
        <w:outlineLvl w:val="9"/>
        <w:rPr>
          <w:rFonts w:hint="eastAsia"/>
          <w:b w:val="0"/>
          <w:bCs/>
          <w:color w:val="auto"/>
          <w:lang w:val="en-US" w:eastAsia="zh-CN"/>
        </w:rPr>
      </w:pPr>
      <w:r>
        <w:rPr>
          <w:rFonts w:hint="eastAsia"/>
          <w:b w:val="0"/>
          <w:bCs/>
          <w:color w:val="auto"/>
          <w:lang w:val="en-US" w:eastAsia="zh-CN"/>
        </w:rPr>
        <w:t>单位：万元</w:t>
      </w:r>
    </w:p>
    <w:tbl>
      <w:tblPr>
        <w:tblStyle w:val="10"/>
        <w:tblW w:w="8618"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56"/>
        <w:gridCol w:w="2274"/>
        <w:gridCol w:w="1776"/>
        <w:gridCol w:w="1666"/>
        <w:gridCol w:w="1546"/>
      </w:tblGrid>
      <w:tr w14:paraId="487D9E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102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79FD9B7">
            <w:pPr>
              <w:keepNext w:val="0"/>
              <w:keepLines w:val="0"/>
              <w:pageBreakBefore w:val="0"/>
              <w:widowControl/>
              <w:suppressLineNumbers w:val="0"/>
              <w:wordWrap/>
              <w:overflowPunct/>
              <w:topLinePunct w:val="0"/>
              <w:bidi w:val="0"/>
              <w:spacing w:line="560" w:lineRule="exact"/>
              <w:jc w:val="center"/>
              <w:textAlignment w:val="center"/>
              <w:rPr>
                <w:rFonts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序号</w:t>
            </w:r>
          </w:p>
        </w:tc>
        <w:tc>
          <w:tcPr>
            <w:tcW w:w="1711" w:type="dxa"/>
            <w:tcBorders>
              <w:top w:val="single" w:color="000000" w:sz="8" w:space="0"/>
              <w:left w:val="nil"/>
              <w:bottom w:val="single" w:color="000000" w:sz="8" w:space="0"/>
              <w:right w:val="single" w:color="000000" w:sz="8" w:space="0"/>
            </w:tcBorders>
            <w:shd w:val="clear" w:color="auto" w:fill="auto"/>
            <w:vAlign w:val="center"/>
          </w:tcPr>
          <w:p w14:paraId="25F0B2CB">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b/>
                <w:bCs/>
                <w:i w:val="0"/>
                <w:iCs w:val="0"/>
                <w:color w:val="000000"/>
                <w:sz w:val="22"/>
                <w:szCs w:val="22"/>
                <w:u w:val="none"/>
              </w:rPr>
            </w:pPr>
            <w:r>
              <w:rPr>
                <w:rStyle w:val="15"/>
                <w:lang w:val="en-US" w:eastAsia="zh-CN" w:bidi="ar"/>
              </w:rPr>
              <w:t>项目类别</w:t>
            </w:r>
            <w:r>
              <w:rPr>
                <w:rFonts w:hint="eastAsia" w:ascii="仿宋" w:hAnsi="仿宋" w:eastAsia="仿宋" w:cs="仿宋"/>
                <w:b/>
                <w:bCs/>
                <w:i w:val="0"/>
                <w:iCs w:val="0"/>
                <w:color w:val="000000"/>
                <w:kern w:val="0"/>
                <w:sz w:val="22"/>
                <w:szCs w:val="22"/>
                <w:u w:val="none"/>
                <w:lang w:val="en-US" w:eastAsia="zh-CN" w:bidi="ar"/>
              </w:rPr>
              <w:t>/名称</w:t>
            </w:r>
          </w:p>
        </w:tc>
        <w:tc>
          <w:tcPr>
            <w:tcW w:w="1336" w:type="dxa"/>
            <w:tcBorders>
              <w:top w:val="single" w:color="000000" w:sz="8" w:space="0"/>
              <w:left w:val="nil"/>
              <w:bottom w:val="single" w:color="000000" w:sz="8" w:space="0"/>
              <w:right w:val="single" w:color="000000" w:sz="8" w:space="0"/>
            </w:tcBorders>
            <w:shd w:val="clear" w:color="auto" w:fill="auto"/>
            <w:vAlign w:val="center"/>
          </w:tcPr>
          <w:p w14:paraId="73EB21E6">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调整预算数</w:t>
            </w:r>
          </w:p>
        </w:tc>
        <w:tc>
          <w:tcPr>
            <w:tcW w:w="1253" w:type="dxa"/>
            <w:tcBorders>
              <w:top w:val="single" w:color="000000" w:sz="8" w:space="0"/>
              <w:left w:val="nil"/>
              <w:bottom w:val="single" w:color="000000" w:sz="8" w:space="0"/>
              <w:right w:val="single" w:color="000000" w:sz="8" w:space="0"/>
            </w:tcBorders>
            <w:shd w:val="clear" w:color="auto" w:fill="auto"/>
            <w:vAlign w:val="center"/>
          </w:tcPr>
          <w:p w14:paraId="5693D956">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实际支出数</w:t>
            </w:r>
          </w:p>
        </w:tc>
        <w:tc>
          <w:tcPr>
            <w:tcW w:w="1163" w:type="dxa"/>
            <w:tcBorders>
              <w:top w:val="single" w:color="000000" w:sz="8" w:space="0"/>
              <w:left w:val="nil"/>
              <w:bottom w:val="single" w:color="000000" w:sz="8" w:space="0"/>
              <w:right w:val="single" w:color="000000" w:sz="8" w:space="0"/>
            </w:tcBorders>
            <w:shd w:val="clear" w:color="auto" w:fill="auto"/>
            <w:vAlign w:val="center"/>
          </w:tcPr>
          <w:p w14:paraId="086666ED">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预算执行率</w:t>
            </w:r>
          </w:p>
        </w:tc>
      </w:tr>
      <w:tr w14:paraId="7D0968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20" w:type="dxa"/>
            <w:tcBorders>
              <w:top w:val="nil"/>
              <w:left w:val="single" w:color="000000" w:sz="8" w:space="0"/>
              <w:bottom w:val="single" w:color="000000" w:sz="8" w:space="0"/>
              <w:right w:val="single" w:color="000000" w:sz="8" w:space="0"/>
            </w:tcBorders>
            <w:shd w:val="clear" w:color="auto" w:fill="auto"/>
            <w:vAlign w:val="center"/>
          </w:tcPr>
          <w:p w14:paraId="7EB3570B">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1711" w:type="dxa"/>
            <w:tcBorders>
              <w:top w:val="nil"/>
              <w:left w:val="nil"/>
              <w:bottom w:val="single" w:color="000000" w:sz="8" w:space="0"/>
              <w:right w:val="single" w:color="000000" w:sz="8" w:space="0"/>
            </w:tcBorders>
            <w:shd w:val="clear" w:color="auto" w:fill="auto"/>
            <w:vAlign w:val="center"/>
          </w:tcPr>
          <w:p w14:paraId="1F5495CF">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购买教学一体机</w:t>
            </w:r>
          </w:p>
        </w:tc>
        <w:tc>
          <w:tcPr>
            <w:tcW w:w="1336" w:type="dxa"/>
            <w:tcBorders>
              <w:top w:val="nil"/>
              <w:left w:val="nil"/>
              <w:bottom w:val="single" w:color="000000" w:sz="8" w:space="0"/>
              <w:right w:val="single" w:color="000000" w:sz="8" w:space="0"/>
            </w:tcBorders>
            <w:shd w:val="clear" w:color="auto" w:fill="auto"/>
            <w:vAlign w:val="center"/>
          </w:tcPr>
          <w:p w14:paraId="21629219">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46.00 </w:t>
            </w:r>
          </w:p>
        </w:tc>
        <w:tc>
          <w:tcPr>
            <w:tcW w:w="1253" w:type="dxa"/>
            <w:tcBorders>
              <w:top w:val="nil"/>
              <w:left w:val="nil"/>
              <w:bottom w:val="single" w:color="000000" w:sz="8" w:space="0"/>
              <w:right w:val="single" w:color="000000" w:sz="8" w:space="0"/>
            </w:tcBorders>
            <w:shd w:val="clear" w:color="auto" w:fill="auto"/>
            <w:vAlign w:val="center"/>
          </w:tcPr>
          <w:p w14:paraId="3F017534">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46.00 </w:t>
            </w:r>
          </w:p>
        </w:tc>
        <w:tc>
          <w:tcPr>
            <w:tcW w:w="1163" w:type="dxa"/>
            <w:tcBorders>
              <w:top w:val="nil"/>
              <w:left w:val="nil"/>
              <w:bottom w:val="single" w:color="000000" w:sz="8" w:space="0"/>
              <w:right w:val="single" w:color="000000" w:sz="8" w:space="0"/>
            </w:tcBorders>
            <w:shd w:val="clear" w:color="auto" w:fill="auto"/>
            <w:vAlign w:val="center"/>
          </w:tcPr>
          <w:p w14:paraId="46D520B2">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100.00%</w:t>
            </w:r>
          </w:p>
        </w:tc>
      </w:tr>
      <w:tr w14:paraId="157343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20" w:type="dxa"/>
            <w:tcBorders>
              <w:top w:val="nil"/>
              <w:left w:val="single" w:color="000000" w:sz="8" w:space="0"/>
              <w:bottom w:val="single" w:color="000000" w:sz="8" w:space="0"/>
              <w:right w:val="single" w:color="000000" w:sz="8" w:space="0"/>
            </w:tcBorders>
            <w:shd w:val="clear" w:color="auto" w:fill="auto"/>
            <w:vAlign w:val="center"/>
          </w:tcPr>
          <w:p w14:paraId="0AC488F2">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1711" w:type="dxa"/>
            <w:tcBorders>
              <w:top w:val="nil"/>
              <w:left w:val="nil"/>
              <w:bottom w:val="single" w:color="000000" w:sz="8" w:space="0"/>
              <w:right w:val="single" w:color="000000" w:sz="8" w:space="0"/>
            </w:tcBorders>
            <w:shd w:val="clear" w:color="auto" w:fill="auto"/>
            <w:vAlign w:val="center"/>
          </w:tcPr>
          <w:p w14:paraId="1C925A86">
            <w:pPr>
              <w:keepNext w:val="0"/>
              <w:keepLines w:val="0"/>
              <w:pageBreakBefore w:val="0"/>
              <w:widowControl/>
              <w:suppressLineNumbers w:val="0"/>
              <w:wordWrap/>
              <w:overflowPunct/>
              <w:topLinePunct w:val="0"/>
              <w:bidi w:val="0"/>
              <w:spacing w:line="560" w:lineRule="exact"/>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健康教室改造</w:t>
            </w:r>
          </w:p>
        </w:tc>
        <w:tc>
          <w:tcPr>
            <w:tcW w:w="1336" w:type="dxa"/>
            <w:tcBorders>
              <w:top w:val="nil"/>
              <w:left w:val="nil"/>
              <w:bottom w:val="single" w:color="000000" w:sz="8" w:space="0"/>
              <w:right w:val="single" w:color="000000" w:sz="8" w:space="0"/>
            </w:tcBorders>
            <w:shd w:val="clear" w:color="auto" w:fill="auto"/>
            <w:vAlign w:val="center"/>
          </w:tcPr>
          <w:p w14:paraId="53444527">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62.78 </w:t>
            </w:r>
          </w:p>
        </w:tc>
        <w:tc>
          <w:tcPr>
            <w:tcW w:w="1253" w:type="dxa"/>
            <w:tcBorders>
              <w:top w:val="nil"/>
              <w:left w:val="nil"/>
              <w:bottom w:val="single" w:color="000000" w:sz="8" w:space="0"/>
              <w:right w:val="single" w:color="000000" w:sz="8" w:space="0"/>
            </w:tcBorders>
            <w:shd w:val="clear" w:color="auto" w:fill="auto"/>
            <w:vAlign w:val="center"/>
          </w:tcPr>
          <w:p w14:paraId="40221418">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62.78 </w:t>
            </w:r>
          </w:p>
        </w:tc>
        <w:tc>
          <w:tcPr>
            <w:tcW w:w="1163" w:type="dxa"/>
            <w:tcBorders>
              <w:top w:val="nil"/>
              <w:left w:val="nil"/>
              <w:bottom w:val="single" w:color="000000" w:sz="8" w:space="0"/>
              <w:right w:val="single" w:color="000000" w:sz="8" w:space="0"/>
            </w:tcBorders>
            <w:shd w:val="clear" w:color="auto" w:fill="auto"/>
            <w:vAlign w:val="center"/>
          </w:tcPr>
          <w:p w14:paraId="087D4E27">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100.00%</w:t>
            </w:r>
          </w:p>
        </w:tc>
      </w:tr>
      <w:tr w14:paraId="61E2E2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20" w:type="dxa"/>
            <w:tcBorders>
              <w:top w:val="nil"/>
              <w:left w:val="single" w:color="000000" w:sz="8" w:space="0"/>
              <w:bottom w:val="single" w:color="000000" w:sz="8" w:space="0"/>
              <w:right w:val="single" w:color="000000" w:sz="8" w:space="0"/>
            </w:tcBorders>
            <w:shd w:val="clear" w:color="auto" w:fill="auto"/>
            <w:vAlign w:val="center"/>
          </w:tcPr>
          <w:p w14:paraId="4D6007AE">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1711" w:type="dxa"/>
            <w:tcBorders>
              <w:top w:val="nil"/>
              <w:left w:val="nil"/>
              <w:bottom w:val="single" w:color="000000" w:sz="8" w:space="0"/>
              <w:right w:val="single" w:color="000000" w:sz="8" w:space="0"/>
            </w:tcBorders>
            <w:shd w:val="clear" w:color="auto" w:fill="auto"/>
            <w:vAlign w:val="center"/>
          </w:tcPr>
          <w:p w14:paraId="3AE624FA">
            <w:pPr>
              <w:keepNext w:val="0"/>
              <w:keepLines w:val="0"/>
              <w:pageBreakBefore w:val="0"/>
              <w:widowControl/>
              <w:suppressLineNumbers w:val="0"/>
              <w:wordWrap/>
              <w:overflowPunct/>
              <w:topLinePunct w:val="0"/>
              <w:bidi w:val="0"/>
              <w:spacing w:line="560" w:lineRule="exact"/>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购买学生课桌椅</w:t>
            </w:r>
          </w:p>
        </w:tc>
        <w:tc>
          <w:tcPr>
            <w:tcW w:w="1336" w:type="dxa"/>
            <w:tcBorders>
              <w:top w:val="nil"/>
              <w:left w:val="nil"/>
              <w:bottom w:val="single" w:color="000000" w:sz="8" w:space="0"/>
              <w:right w:val="single" w:color="000000" w:sz="8" w:space="0"/>
            </w:tcBorders>
            <w:shd w:val="clear" w:color="auto" w:fill="auto"/>
            <w:vAlign w:val="center"/>
          </w:tcPr>
          <w:p w14:paraId="7268DD8A">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13.07 </w:t>
            </w:r>
          </w:p>
        </w:tc>
        <w:tc>
          <w:tcPr>
            <w:tcW w:w="1253" w:type="dxa"/>
            <w:tcBorders>
              <w:top w:val="nil"/>
              <w:left w:val="nil"/>
              <w:bottom w:val="single" w:color="000000" w:sz="8" w:space="0"/>
              <w:right w:val="single" w:color="000000" w:sz="8" w:space="0"/>
            </w:tcBorders>
            <w:shd w:val="clear" w:color="auto" w:fill="auto"/>
            <w:vAlign w:val="center"/>
          </w:tcPr>
          <w:p w14:paraId="7AAD9C81">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13.07 </w:t>
            </w:r>
          </w:p>
        </w:tc>
        <w:tc>
          <w:tcPr>
            <w:tcW w:w="1163" w:type="dxa"/>
            <w:tcBorders>
              <w:top w:val="nil"/>
              <w:left w:val="nil"/>
              <w:bottom w:val="single" w:color="000000" w:sz="8" w:space="0"/>
              <w:right w:val="single" w:color="000000" w:sz="8" w:space="0"/>
            </w:tcBorders>
            <w:shd w:val="clear" w:color="auto" w:fill="auto"/>
            <w:vAlign w:val="center"/>
          </w:tcPr>
          <w:p w14:paraId="61C60316">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100.00%</w:t>
            </w:r>
          </w:p>
        </w:tc>
      </w:tr>
      <w:tr w14:paraId="0CA1DA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20" w:type="dxa"/>
            <w:tcBorders>
              <w:top w:val="nil"/>
              <w:left w:val="single" w:color="000000" w:sz="8" w:space="0"/>
              <w:bottom w:val="single" w:color="000000" w:sz="8" w:space="0"/>
              <w:right w:val="single" w:color="000000" w:sz="8" w:space="0"/>
            </w:tcBorders>
            <w:shd w:val="clear" w:color="auto" w:fill="auto"/>
            <w:vAlign w:val="center"/>
          </w:tcPr>
          <w:p w14:paraId="1DFD06BA">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w:t>
            </w:r>
          </w:p>
        </w:tc>
        <w:tc>
          <w:tcPr>
            <w:tcW w:w="1711" w:type="dxa"/>
            <w:tcBorders>
              <w:top w:val="nil"/>
              <w:left w:val="nil"/>
              <w:bottom w:val="single" w:color="000000" w:sz="8" w:space="0"/>
              <w:right w:val="single" w:color="000000" w:sz="8" w:space="0"/>
            </w:tcBorders>
            <w:shd w:val="clear" w:color="auto" w:fill="auto"/>
            <w:vAlign w:val="center"/>
          </w:tcPr>
          <w:p w14:paraId="16A8A528">
            <w:pPr>
              <w:keepNext w:val="0"/>
              <w:keepLines w:val="0"/>
              <w:pageBreakBefore w:val="0"/>
              <w:widowControl/>
              <w:suppressLineNumbers w:val="0"/>
              <w:wordWrap/>
              <w:overflowPunct/>
              <w:topLinePunct w:val="0"/>
              <w:bidi w:val="0"/>
              <w:spacing w:line="560" w:lineRule="exact"/>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公用经费</w:t>
            </w:r>
          </w:p>
        </w:tc>
        <w:tc>
          <w:tcPr>
            <w:tcW w:w="1336" w:type="dxa"/>
            <w:tcBorders>
              <w:top w:val="nil"/>
              <w:left w:val="nil"/>
              <w:bottom w:val="single" w:color="000000" w:sz="8" w:space="0"/>
              <w:right w:val="single" w:color="000000" w:sz="8" w:space="0"/>
            </w:tcBorders>
            <w:shd w:val="clear" w:color="auto" w:fill="auto"/>
            <w:vAlign w:val="center"/>
          </w:tcPr>
          <w:p w14:paraId="77AE4E09">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143.43 </w:t>
            </w:r>
          </w:p>
        </w:tc>
        <w:tc>
          <w:tcPr>
            <w:tcW w:w="1253" w:type="dxa"/>
            <w:tcBorders>
              <w:top w:val="nil"/>
              <w:left w:val="nil"/>
              <w:bottom w:val="single" w:color="000000" w:sz="8" w:space="0"/>
              <w:right w:val="single" w:color="000000" w:sz="8" w:space="0"/>
            </w:tcBorders>
            <w:shd w:val="clear" w:color="auto" w:fill="auto"/>
            <w:vAlign w:val="center"/>
          </w:tcPr>
          <w:p w14:paraId="21BCBEA7">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143.42 </w:t>
            </w:r>
          </w:p>
        </w:tc>
        <w:tc>
          <w:tcPr>
            <w:tcW w:w="1163" w:type="dxa"/>
            <w:tcBorders>
              <w:top w:val="nil"/>
              <w:left w:val="nil"/>
              <w:bottom w:val="single" w:color="000000" w:sz="8" w:space="0"/>
              <w:right w:val="single" w:color="000000" w:sz="8" w:space="0"/>
            </w:tcBorders>
            <w:shd w:val="clear" w:color="auto" w:fill="auto"/>
            <w:vAlign w:val="center"/>
          </w:tcPr>
          <w:p w14:paraId="610D66E8">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100.00%</w:t>
            </w:r>
          </w:p>
        </w:tc>
      </w:tr>
      <w:tr w14:paraId="7540CA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20" w:type="dxa"/>
            <w:tcBorders>
              <w:top w:val="nil"/>
              <w:left w:val="single" w:color="000000" w:sz="8" w:space="0"/>
              <w:bottom w:val="single" w:color="000000" w:sz="8" w:space="0"/>
              <w:right w:val="single" w:color="000000" w:sz="8" w:space="0"/>
            </w:tcBorders>
            <w:shd w:val="clear" w:color="auto" w:fill="auto"/>
            <w:vAlign w:val="center"/>
          </w:tcPr>
          <w:p w14:paraId="4BE56AAF">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w:t>
            </w:r>
          </w:p>
        </w:tc>
        <w:tc>
          <w:tcPr>
            <w:tcW w:w="1711" w:type="dxa"/>
            <w:tcBorders>
              <w:top w:val="nil"/>
              <w:left w:val="nil"/>
              <w:bottom w:val="single" w:color="000000" w:sz="8" w:space="0"/>
              <w:right w:val="single" w:color="000000" w:sz="8" w:space="0"/>
            </w:tcBorders>
            <w:shd w:val="clear" w:color="auto" w:fill="auto"/>
            <w:vAlign w:val="center"/>
          </w:tcPr>
          <w:p w14:paraId="16963423">
            <w:pPr>
              <w:keepNext w:val="0"/>
              <w:keepLines w:val="0"/>
              <w:pageBreakBefore w:val="0"/>
              <w:widowControl/>
              <w:suppressLineNumbers w:val="0"/>
              <w:wordWrap/>
              <w:overflowPunct/>
              <w:topLinePunct w:val="0"/>
              <w:bidi w:val="0"/>
              <w:spacing w:line="560" w:lineRule="exact"/>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免作业本费</w:t>
            </w:r>
          </w:p>
        </w:tc>
        <w:tc>
          <w:tcPr>
            <w:tcW w:w="1336" w:type="dxa"/>
            <w:tcBorders>
              <w:top w:val="nil"/>
              <w:left w:val="nil"/>
              <w:bottom w:val="single" w:color="000000" w:sz="8" w:space="0"/>
              <w:right w:val="single" w:color="000000" w:sz="8" w:space="0"/>
            </w:tcBorders>
            <w:shd w:val="clear" w:color="auto" w:fill="auto"/>
            <w:vAlign w:val="center"/>
          </w:tcPr>
          <w:p w14:paraId="2515FAA5">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0.60 </w:t>
            </w:r>
          </w:p>
        </w:tc>
        <w:tc>
          <w:tcPr>
            <w:tcW w:w="1253" w:type="dxa"/>
            <w:tcBorders>
              <w:top w:val="nil"/>
              <w:left w:val="nil"/>
              <w:bottom w:val="single" w:color="000000" w:sz="8" w:space="0"/>
              <w:right w:val="single" w:color="000000" w:sz="8" w:space="0"/>
            </w:tcBorders>
            <w:shd w:val="clear" w:color="auto" w:fill="auto"/>
            <w:vAlign w:val="center"/>
          </w:tcPr>
          <w:p w14:paraId="40A17A3F">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0.60 </w:t>
            </w:r>
          </w:p>
        </w:tc>
        <w:tc>
          <w:tcPr>
            <w:tcW w:w="1163" w:type="dxa"/>
            <w:tcBorders>
              <w:top w:val="nil"/>
              <w:left w:val="nil"/>
              <w:bottom w:val="single" w:color="000000" w:sz="8" w:space="0"/>
              <w:right w:val="single" w:color="000000" w:sz="8" w:space="0"/>
            </w:tcBorders>
            <w:shd w:val="clear" w:color="auto" w:fill="auto"/>
            <w:vAlign w:val="center"/>
          </w:tcPr>
          <w:p w14:paraId="75CDAA11">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100.00%</w:t>
            </w:r>
          </w:p>
        </w:tc>
      </w:tr>
      <w:tr w14:paraId="469BC3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98" w:hRule="atLeast"/>
        </w:trPr>
        <w:tc>
          <w:tcPr>
            <w:tcW w:w="1020" w:type="dxa"/>
            <w:tcBorders>
              <w:top w:val="nil"/>
              <w:left w:val="single" w:color="000000" w:sz="8" w:space="0"/>
              <w:bottom w:val="single" w:color="000000" w:sz="8" w:space="0"/>
              <w:right w:val="single" w:color="000000" w:sz="8" w:space="0"/>
            </w:tcBorders>
            <w:shd w:val="clear" w:color="auto" w:fill="auto"/>
            <w:vAlign w:val="center"/>
          </w:tcPr>
          <w:p w14:paraId="794E073C">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w:t>
            </w:r>
          </w:p>
        </w:tc>
        <w:tc>
          <w:tcPr>
            <w:tcW w:w="1711" w:type="dxa"/>
            <w:tcBorders>
              <w:top w:val="nil"/>
              <w:left w:val="nil"/>
              <w:bottom w:val="single" w:color="000000" w:sz="8" w:space="0"/>
              <w:right w:val="single" w:color="000000" w:sz="8" w:space="0"/>
            </w:tcBorders>
            <w:shd w:val="clear" w:color="auto" w:fill="auto"/>
            <w:vAlign w:val="center"/>
          </w:tcPr>
          <w:p w14:paraId="0761DD67">
            <w:pPr>
              <w:keepNext w:val="0"/>
              <w:keepLines w:val="0"/>
              <w:pageBreakBefore w:val="0"/>
              <w:widowControl/>
              <w:suppressLineNumbers w:val="0"/>
              <w:wordWrap/>
              <w:overflowPunct/>
              <w:topLinePunct w:val="0"/>
              <w:bidi w:val="0"/>
              <w:spacing w:line="560" w:lineRule="exact"/>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2021年优化义务教育资源配置财政奖补资金（新建数字教育资源工程项目）</w:t>
            </w:r>
          </w:p>
        </w:tc>
        <w:tc>
          <w:tcPr>
            <w:tcW w:w="1336" w:type="dxa"/>
            <w:tcBorders>
              <w:top w:val="nil"/>
              <w:left w:val="nil"/>
              <w:bottom w:val="single" w:color="000000" w:sz="8" w:space="0"/>
              <w:right w:val="single" w:color="000000" w:sz="8" w:space="0"/>
            </w:tcBorders>
            <w:shd w:val="clear" w:color="auto" w:fill="auto"/>
            <w:vAlign w:val="center"/>
          </w:tcPr>
          <w:p w14:paraId="39DC655C">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35.00 </w:t>
            </w:r>
          </w:p>
        </w:tc>
        <w:tc>
          <w:tcPr>
            <w:tcW w:w="1253" w:type="dxa"/>
            <w:tcBorders>
              <w:top w:val="nil"/>
              <w:left w:val="nil"/>
              <w:bottom w:val="single" w:color="000000" w:sz="8" w:space="0"/>
              <w:right w:val="single" w:color="000000" w:sz="8" w:space="0"/>
            </w:tcBorders>
            <w:shd w:val="clear" w:color="auto" w:fill="auto"/>
            <w:vAlign w:val="center"/>
          </w:tcPr>
          <w:p w14:paraId="561450E7">
            <w:pPr>
              <w:pageBreakBefore w:val="0"/>
              <w:wordWrap/>
              <w:overflowPunct/>
              <w:topLinePunct w:val="0"/>
              <w:bidi w:val="0"/>
              <w:spacing w:line="560" w:lineRule="exact"/>
              <w:jc w:val="center"/>
              <w:rPr>
                <w:rFonts w:hint="default" w:ascii="仿宋" w:hAnsi="仿宋" w:eastAsia="仿宋" w:cs="仿宋"/>
                <w:i w:val="0"/>
                <w:iCs w:val="0"/>
                <w:color w:val="000000"/>
                <w:sz w:val="22"/>
                <w:szCs w:val="22"/>
                <w:u w:val="none"/>
                <w:lang w:val="en-US" w:eastAsia="zh-CN"/>
              </w:rPr>
            </w:pPr>
            <w:r>
              <w:rPr>
                <w:rFonts w:hint="eastAsia" w:ascii="仿宋" w:hAnsi="仿宋" w:eastAsia="仿宋" w:cs="仿宋"/>
                <w:i w:val="0"/>
                <w:iCs w:val="0"/>
                <w:color w:val="000000"/>
                <w:sz w:val="22"/>
                <w:szCs w:val="22"/>
                <w:u w:val="none"/>
                <w:lang w:val="en-US" w:eastAsia="zh-CN"/>
              </w:rPr>
              <w:t>-</w:t>
            </w:r>
          </w:p>
        </w:tc>
        <w:tc>
          <w:tcPr>
            <w:tcW w:w="1163" w:type="dxa"/>
            <w:tcBorders>
              <w:top w:val="nil"/>
              <w:left w:val="nil"/>
              <w:bottom w:val="single" w:color="000000" w:sz="8" w:space="0"/>
              <w:right w:val="single" w:color="000000" w:sz="8" w:space="0"/>
            </w:tcBorders>
            <w:shd w:val="clear" w:color="auto" w:fill="auto"/>
            <w:vAlign w:val="center"/>
          </w:tcPr>
          <w:p w14:paraId="061A9720">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0.00%</w:t>
            </w:r>
          </w:p>
        </w:tc>
      </w:tr>
      <w:tr w14:paraId="79EDC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20" w:type="dxa"/>
            <w:tcBorders>
              <w:top w:val="nil"/>
              <w:left w:val="single" w:color="000000" w:sz="8" w:space="0"/>
              <w:bottom w:val="single" w:color="000000" w:sz="8" w:space="0"/>
              <w:right w:val="single" w:color="000000" w:sz="8" w:space="0"/>
            </w:tcBorders>
            <w:shd w:val="clear" w:color="auto" w:fill="auto"/>
            <w:vAlign w:val="center"/>
          </w:tcPr>
          <w:p w14:paraId="1EB345F6">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w:t>
            </w:r>
          </w:p>
        </w:tc>
        <w:tc>
          <w:tcPr>
            <w:tcW w:w="1711" w:type="dxa"/>
            <w:tcBorders>
              <w:top w:val="nil"/>
              <w:left w:val="nil"/>
              <w:bottom w:val="single" w:color="000000" w:sz="8" w:space="0"/>
              <w:right w:val="single" w:color="000000" w:sz="8" w:space="0"/>
            </w:tcBorders>
            <w:shd w:val="clear" w:color="auto" w:fill="auto"/>
            <w:vAlign w:val="center"/>
          </w:tcPr>
          <w:p w14:paraId="37E19E3C">
            <w:pPr>
              <w:keepNext w:val="0"/>
              <w:keepLines w:val="0"/>
              <w:pageBreakBefore w:val="0"/>
              <w:widowControl/>
              <w:suppressLineNumbers w:val="0"/>
              <w:wordWrap/>
              <w:overflowPunct/>
              <w:topLinePunct w:val="0"/>
              <w:bidi w:val="0"/>
              <w:spacing w:line="560" w:lineRule="exact"/>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公用经费</w:t>
            </w:r>
          </w:p>
        </w:tc>
        <w:tc>
          <w:tcPr>
            <w:tcW w:w="1336" w:type="dxa"/>
            <w:tcBorders>
              <w:top w:val="nil"/>
              <w:left w:val="nil"/>
              <w:bottom w:val="single" w:color="000000" w:sz="8" w:space="0"/>
              <w:right w:val="single" w:color="000000" w:sz="8" w:space="0"/>
            </w:tcBorders>
            <w:shd w:val="clear" w:color="auto" w:fill="auto"/>
            <w:vAlign w:val="center"/>
          </w:tcPr>
          <w:p w14:paraId="0390140D">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16.51 </w:t>
            </w:r>
          </w:p>
        </w:tc>
        <w:tc>
          <w:tcPr>
            <w:tcW w:w="1253" w:type="dxa"/>
            <w:tcBorders>
              <w:top w:val="nil"/>
              <w:left w:val="nil"/>
              <w:bottom w:val="single" w:color="000000" w:sz="8" w:space="0"/>
              <w:right w:val="single" w:color="000000" w:sz="8" w:space="0"/>
            </w:tcBorders>
            <w:shd w:val="clear" w:color="auto" w:fill="auto"/>
            <w:vAlign w:val="center"/>
          </w:tcPr>
          <w:p w14:paraId="48993BF7">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16.51 </w:t>
            </w:r>
          </w:p>
        </w:tc>
        <w:tc>
          <w:tcPr>
            <w:tcW w:w="1163" w:type="dxa"/>
            <w:tcBorders>
              <w:top w:val="nil"/>
              <w:left w:val="nil"/>
              <w:bottom w:val="single" w:color="000000" w:sz="8" w:space="0"/>
              <w:right w:val="single" w:color="000000" w:sz="8" w:space="0"/>
            </w:tcBorders>
            <w:shd w:val="clear" w:color="auto" w:fill="auto"/>
            <w:vAlign w:val="center"/>
          </w:tcPr>
          <w:p w14:paraId="667D3CF8">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100.00%</w:t>
            </w:r>
          </w:p>
        </w:tc>
      </w:tr>
      <w:tr w14:paraId="6D7403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731" w:type="dxa"/>
            <w:gridSpan w:val="2"/>
            <w:tcBorders>
              <w:top w:val="nil"/>
              <w:left w:val="single" w:color="000000" w:sz="8" w:space="0"/>
              <w:bottom w:val="single" w:color="000000" w:sz="8" w:space="0"/>
              <w:right w:val="single" w:color="000000" w:sz="8" w:space="0"/>
            </w:tcBorders>
            <w:shd w:val="clear" w:color="auto" w:fill="auto"/>
            <w:vAlign w:val="center"/>
          </w:tcPr>
          <w:p w14:paraId="43D247AC">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合计</w:t>
            </w:r>
          </w:p>
        </w:tc>
        <w:tc>
          <w:tcPr>
            <w:tcW w:w="1336" w:type="dxa"/>
            <w:tcBorders>
              <w:top w:val="nil"/>
              <w:left w:val="nil"/>
              <w:bottom w:val="single" w:color="000000" w:sz="8" w:space="0"/>
              <w:right w:val="single" w:color="000000" w:sz="8" w:space="0"/>
            </w:tcBorders>
            <w:shd w:val="clear" w:color="auto" w:fill="auto"/>
            <w:vAlign w:val="center"/>
          </w:tcPr>
          <w:p w14:paraId="6777D5B2">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317.39 </w:t>
            </w:r>
          </w:p>
        </w:tc>
        <w:tc>
          <w:tcPr>
            <w:tcW w:w="1253" w:type="dxa"/>
            <w:tcBorders>
              <w:top w:val="nil"/>
              <w:left w:val="nil"/>
              <w:bottom w:val="single" w:color="000000" w:sz="8" w:space="0"/>
              <w:right w:val="single" w:color="000000" w:sz="8" w:space="0"/>
            </w:tcBorders>
            <w:shd w:val="clear" w:color="auto" w:fill="auto"/>
            <w:vAlign w:val="center"/>
          </w:tcPr>
          <w:p w14:paraId="6110404B">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282.38 </w:t>
            </w:r>
          </w:p>
        </w:tc>
        <w:tc>
          <w:tcPr>
            <w:tcW w:w="1163" w:type="dxa"/>
            <w:tcBorders>
              <w:top w:val="nil"/>
              <w:left w:val="nil"/>
              <w:bottom w:val="single" w:color="000000" w:sz="8" w:space="0"/>
              <w:right w:val="single" w:color="000000" w:sz="8" w:space="0"/>
            </w:tcBorders>
            <w:shd w:val="clear" w:color="auto" w:fill="auto"/>
            <w:vAlign w:val="center"/>
          </w:tcPr>
          <w:p w14:paraId="2C515625">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88.97%</w:t>
            </w:r>
          </w:p>
        </w:tc>
      </w:tr>
    </w:tbl>
    <w:p w14:paraId="38D11A52">
      <w:pPr>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黑体" w:hAnsi="黑体" w:eastAsia="黑体"/>
          <w:color w:val="auto"/>
          <w:sz w:val="32"/>
          <w:szCs w:val="32"/>
          <w:highlight w:val="none"/>
          <w:lang w:val="en-US" w:eastAsia="zh-CN"/>
        </w:rPr>
      </w:pPr>
    </w:p>
    <w:p w14:paraId="01997D69">
      <w:pPr>
        <w:pStyle w:val="3"/>
        <w:pageBreakBefore w:val="0"/>
        <w:numPr>
          <w:ilvl w:val="0"/>
          <w:numId w:val="0"/>
        </w:numPr>
        <w:kinsoku/>
        <w:wordWrap/>
        <w:overflowPunct/>
        <w:topLinePunct w:val="0"/>
        <w:autoSpaceDE/>
        <w:autoSpaceDN/>
        <w:bidi w:val="0"/>
        <w:spacing w:line="560" w:lineRule="exact"/>
        <w:ind w:leftChars="200"/>
        <w:rPr>
          <w:rFonts w:hint="eastAsia"/>
          <w:color w:val="auto"/>
          <w:szCs w:val="32"/>
          <w:lang w:val="en-US" w:eastAsia="zh-CN"/>
        </w:rPr>
      </w:pPr>
      <w:bookmarkStart w:id="325" w:name="_Toc26396"/>
      <w:bookmarkStart w:id="326" w:name="_Toc17059"/>
      <w:bookmarkStart w:id="327" w:name="_Toc8759"/>
      <w:bookmarkStart w:id="328" w:name="_Toc10511"/>
      <w:bookmarkStart w:id="329" w:name="_Toc25691"/>
      <w:bookmarkStart w:id="330" w:name="_Toc6838"/>
      <w:bookmarkStart w:id="331" w:name="_Toc18210"/>
      <w:bookmarkStart w:id="332" w:name="_Toc32201"/>
      <w:r>
        <w:rPr>
          <w:rFonts w:hint="eastAsia"/>
          <w:color w:val="auto"/>
          <w:szCs w:val="32"/>
          <w:lang w:val="en-US" w:eastAsia="zh-CN"/>
        </w:rPr>
        <w:t>三、绩效评价工作开展情况</w:t>
      </w:r>
      <w:bookmarkEnd w:id="325"/>
      <w:bookmarkEnd w:id="326"/>
      <w:bookmarkEnd w:id="327"/>
      <w:bookmarkEnd w:id="328"/>
      <w:bookmarkEnd w:id="329"/>
      <w:bookmarkEnd w:id="330"/>
      <w:bookmarkEnd w:id="331"/>
      <w:bookmarkEnd w:id="332"/>
    </w:p>
    <w:p w14:paraId="466B047E">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1"/>
        <w:rPr>
          <w:rFonts w:ascii="楷体" w:hAnsi="楷体" w:eastAsia="楷体"/>
          <w:b/>
          <w:bCs/>
          <w:color w:val="auto"/>
          <w:sz w:val="32"/>
          <w:szCs w:val="32"/>
          <w:highlight w:val="none"/>
        </w:rPr>
      </w:pPr>
      <w:bookmarkStart w:id="333" w:name="_Toc11430"/>
      <w:bookmarkStart w:id="334" w:name="_Toc29886"/>
      <w:bookmarkStart w:id="335" w:name="_Toc16797"/>
      <w:bookmarkStart w:id="336" w:name="_Toc14854"/>
      <w:bookmarkStart w:id="337" w:name="_Toc9488"/>
      <w:bookmarkStart w:id="338" w:name="_Toc21125"/>
      <w:bookmarkStart w:id="339" w:name="_Toc13143"/>
      <w:bookmarkStart w:id="340" w:name="_Toc8496"/>
      <w:r>
        <w:rPr>
          <w:rFonts w:hint="eastAsia" w:ascii="楷体" w:hAnsi="楷体" w:eastAsia="楷体"/>
          <w:b/>
          <w:bCs/>
          <w:color w:val="auto"/>
          <w:sz w:val="32"/>
          <w:szCs w:val="32"/>
          <w:highlight w:val="none"/>
        </w:rPr>
        <w:t>（一）绩效评价目的</w:t>
      </w:r>
      <w:bookmarkEnd w:id="333"/>
      <w:bookmarkEnd w:id="334"/>
      <w:bookmarkEnd w:id="335"/>
      <w:bookmarkEnd w:id="336"/>
      <w:bookmarkEnd w:id="337"/>
      <w:bookmarkEnd w:id="338"/>
      <w:bookmarkEnd w:id="339"/>
      <w:bookmarkEnd w:id="340"/>
    </w:p>
    <w:p w14:paraId="06E683FB">
      <w:pPr>
        <w:pStyle w:val="8"/>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color w:val="auto"/>
          <w:highlight w:val="none"/>
        </w:rPr>
      </w:pPr>
      <w:r>
        <w:rPr>
          <w:rFonts w:hint="eastAsia" w:ascii="仿宋" w:hAnsi="仿宋" w:eastAsia="仿宋" w:cs="仿宋"/>
          <w:bCs/>
          <w:color w:val="auto"/>
          <w:sz w:val="32"/>
          <w:szCs w:val="32"/>
          <w:highlight w:val="none"/>
        </w:rPr>
        <w:t>为全面贯彻落实《中共中央国务院关于全面实施预算绩效管理的意见》（中发〔2018〕34号）、《四川省关于全面实施预算绩效管理的实施意见》（川委发〔2019〕8号）</w:t>
      </w:r>
      <w:r>
        <w:rPr>
          <w:rFonts w:hint="eastAsia" w:ascii="仿宋" w:hAnsi="仿宋" w:eastAsia="仿宋" w:cs="仿宋"/>
          <w:bCs/>
          <w:color w:val="auto"/>
          <w:sz w:val="32"/>
          <w:szCs w:val="32"/>
          <w:highlight w:val="none"/>
          <w:lang w:eastAsia="zh-CN"/>
        </w:rPr>
        <w:t>、</w:t>
      </w:r>
      <w:r>
        <w:rPr>
          <w:rFonts w:hint="eastAsia" w:ascii="仿宋" w:hAnsi="仿宋" w:eastAsia="仿宋" w:cs="仿宋"/>
          <w:bCs/>
          <w:color w:val="auto"/>
          <w:sz w:val="32"/>
          <w:szCs w:val="32"/>
          <w:highlight w:val="none"/>
        </w:rPr>
        <w:t>《关于开展2022年财政重点绩效评价工作的通知》（遂东区财发〔2022〕8号）等文件</w:t>
      </w:r>
      <w:r>
        <w:rPr>
          <w:rFonts w:hint="eastAsia" w:ascii="仿宋" w:hAnsi="仿宋" w:eastAsia="仿宋" w:cs="仿宋"/>
          <w:bCs/>
          <w:color w:val="auto"/>
          <w:sz w:val="32"/>
          <w:szCs w:val="32"/>
          <w:highlight w:val="none"/>
          <w:lang w:val="en-US" w:eastAsia="zh-CN"/>
        </w:rPr>
        <w:t>精神</w:t>
      </w:r>
      <w:r>
        <w:rPr>
          <w:rFonts w:hint="eastAsia" w:ascii="仿宋" w:hAnsi="仿宋" w:eastAsia="仿宋" w:cs="仿宋"/>
          <w:bCs/>
          <w:color w:val="auto"/>
          <w:sz w:val="32"/>
          <w:szCs w:val="32"/>
          <w:highlight w:val="none"/>
        </w:rPr>
        <w:t>，对</w:t>
      </w:r>
      <w:r>
        <w:rPr>
          <w:rFonts w:hint="eastAsia" w:ascii="仿宋" w:hAnsi="仿宋" w:eastAsia="仿宋" w:cs="仿宋"/>
          <w:bCs/>
          <w:color w:val="auto"/>
          <w:sz w:val="32"/>
          <w:szCs w:val="32"/>
          <w:highlight w:val="none"/>
          <w:lang w:val="en-US" w:eastAsia="zh-CN"/>
        </w:rPr>
        <w:t>洋渡实验学校</w:t>
      </w:r>
      <w:r>
        <w:rPr>
          <w:rFonts w:hint="eastAsia" w:ascii="仿宋" w:hAnsi="仿宋" w:eastAsia="仿宋" w:cs="仿宋"/>
          <w:bCs/>
          <w:color w:val="auto"/>
          <w:sz w:val="32"/>
          <w:szCs w:val="32"/>
          <w:highlight w:val="none"/>
        </w:rPr>
        <w:t>的</w:t>
      </w:r>
      <w:r>
        <w:rPr>
          <w:rFonts w:hint="eastAsia" w:ascii="仿宋" w:hAnsi="仿宋" w:eastAsia="仿宋" w:cs="仿宋"/>
          <w:bCs/>
          <w:color w:val="auto"/>
          <w:sz w:val="32"/>
          <w:szCs w:val="32"/>
          <w:highlight w:val="none"/>
          <w:lang w:val="en-US" w:eastAsia="zh-CN"/>
        </w:rPr>
        <w:t>基本履职绩效、重点履职绩效</w:t>
      </w:r>
      <w:r>
        <w:rPr>
          <w:rFonts w:hint="eastAsia" w:ascii="仿宋" w:hAnsi="仿宋" w:eastAsia="仿宋" w:cs="仿宋"/>
          <w:bCs/>
          <w:color w:val="auto"/>
          <w:sz w:val="32"/>
          <w:szCs w:val="32"/>
          <w:highlight w:val="none"/>
        </w:rPr>
        <w:t>情况</w:t>
      </w:r>
      <w:r>
        <w:rPr>
          <w:rFonts w:hint="eastAsia" w:ascii="仿宋" w:hAnsi="仿宋" w:eastAsia="仿宋" w:cs="仿宋"/>
          <w:bCs/>
          <w:color w:val="auto"/>
          <w:sz w:val="32"/>
          <w:szCs w:val="32"/>
          <w:highlight w:val="none"/>
          <w:lang w:val="en-US" w:eastAsia="zh-CN"/>
        </w:rPr>
        <w:t>和满意度</w:t>
      </w:r>
      <w:r>
        <w:rPr>
          <w:rFonts w:hint="eastAsia" w:ascii="仿宋" w:hAnsi="仿宋" w:eastAsia="仿宋" w:cs="仿宋"/>
          <w:bCs/>
          <w:color w:val="auto"/>
          <w:sz w:val="32"/>
          <w:szCs w:val="32"/>
          <w:highlight w:val="none"/>
        </w:rPr>
        <w:t>开展绩效评价。通过评价工作的实施，</w:t>
      </w:r>
      <w:r>
        <w:rPr>
          <w:rFonts w:hint="eastAsia" w:ascii="仿宋" w:hAnsi="仿宋" w:eastAsia="仿宋"/>
          <w:bCs/>
          <w:color w:val="auto"/>
          <w:sz w:val="32"/>
          <w:szCs w:val="32"/>
          <w:highlight w:val="none"/>
        </w:rPr>
        <w:t>全面反映</w:t>
      </w:r>
      <w:r>
        <w:rPr>
          <w:rFonts w:hint="eastAsia" w:ascii="仿宋" w:hAnsi="仿宋" w:eastAsia="仿宋" w:cs="仿宋"/>
          <w:bCs/>
          <w:color w:val="auto"/>
          <w:sz w:val="32"/>
          <w:szCs w:val="32"/>
          <w:highlight w:val="none"/>
          <w:lang w:val="en-US" w:eastAsia="zh-CN"/>
        </w:rPr>
        <w:t>洋渡实验学校</w:t>
      </w:r>
      <w:r>
        <w:rPr>
          <w:rFonts w:hint="eastAsia" w:ascii="仿宋" w:hAnsi="仿宋" w:eastAsia="仿宋"/>
          <w:bCs/>
          <w:color w:val="auto"/>
          <w:sz w:val="32"/>
          <w:szCs w:val="32"/>
          <w:highlight w:val="none"/>
        </w:rPr>
        <w:t>本级预算管理和核心业务实施效果，</w:t>
      </w:r>
      <w:r>
        <w:rPr>
          <w:rFonts w:hint="eastAsia" w:ascii="仿宋" w:hAnsi="仿宋" w:eastAsia="仿宋" w:cs="仿宋"/>
          <w:bCs/>
          <w:color w:val="auto"/>
          <w:sz w:val="32"/>
          <w:szCs w:val="32"/>
          <w:highlight w:val="none"/>
        </w:rPr>
        <w:t>总结经验、发现问题、剖析原因、提出改进建议，</w:t>
      </w:r>
      <w:r>
        <w:rPr>
          <w:rFonts w:hint="eastAsia" w:ascii="仿宋" w:hAnsi="仿宋" w:eastAsia="仿宋"/>
          <w:bCs/>
          <w:color w:val="auto"/>
          <w:sz w:val="32"/>
          <w:szCs w:val="32"/>
          <w:highlight w:val="none"/>
        </w:rPr>
        <w:t>促进单位科学决策、规范管理，提高部门整体绩效水平及财政资源配置效率和使用效益。</w:t>
      </w:r>
    </w:p>
    <w:p w14:paraId="422C5700">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1"/>
        <w:rPr>
          <w:rFonts w:ascii="楷体" w:hAnsi="楷体" w:eastAsia="楷体"/>
          <w:b/>
          <w:bCs/>
          <w:color w:val="auto"/>
          <w:sz w:val="32"/>
          <w:szCs w:val="32"/>
        </w:rPr>
      </w:pPr>
      <w:bookmarkStart w:id="341" w:name="_Toc29284"/>
      <w:bookmarkStart w:id="342" w:name="_Toc15650"/>
      <w:bookmarkStart w:id="343" w:name="_Toc10627"/>
      <w:bookmarkStart w:id="344" w:name="_Toc14765"/>
      <w:bookmarkStart w:id="345" w:name="_Toc1635"/>
      <w:bookmarkStart w:id="346" w:name="_Toc20483"/>
      <w:bookmarkStart w:id="347" w:name="_Toc12646"/>
      <w:bookmarkStart w:id="348" w:name="_Toc24791"/>
      <w:r>
        <w:rPr>
          <w:rFonts w:hint="eastAsia" w:ascii="楷体" w:hAnsi="楷体" w:eastAsia="楷体"/>
          <w:b/>
          <w:bCs/>
          <w:color w:val="auto"/>
          <w:sz w:val="32"/>
          <w:szCs w:val="32"/>
        </w:rPr>
        <w:t>（二）绩效评价原则、方法与标准</w:t>
      </w:r>
      <w:bookmarkEnd w:id="341"/>
      <w:bookmarkEnd w:id="342"/>
      <w:bookmarkEnd w:id="343"/>
      <w:bookmarkEnd w:id="344"/>
      <w:bookmarkEnd w:id="345"/>
      <w:bookmarkEnd w:id="346"/>
      <w:bookmarkEnd w:id="347"/>
      <w:bookmarkEnd w:id="348"/>
    </w:p>
    <w:p w14:paraId="7C6CB6A9">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2"/>
        <w:rPr>
          <w:rFonts w:hint="eastAsia" w:ascii="仿宋" w:hAnsi="仿宋" w:eastAsia="仿宋" w:cs="仿宋"/>
          <w:b/>
          <w:color w:val="auto"/>
          <w:sz w:val="32"/>
          <w:szCs w:val="32"/>
        </w:rPr>
      </w:pPr>
      <w:r>
        <w:rPr>
          <w:rFonts w:ascii="仿宋" w:hAnsi="仿宋" w:eastAsia="仿宋" w:cs="仿宋"/>
          <w:b/>
          <w:color w:val="auto"/>
          <w:sz w:val="32"/>
          <w:szCs w:val="32"/>
        </w:rPr>
        <w:t>1.</w:t>
      </w:r>
      <w:r>
        <w:rPr>
          <w:rFonts w:hint="eastAsia" w:ascii="仿宋" w:hAnsi="仿宋" w:eastAsia="仿宋" w:cs="仿宋"/>
          <w:b/>
          <w:color w:val="auto"/>
          <w:sz w:val="32"/>
          <w:szCs w:val="32"/>
        </w:rPr>
        <w:t>评价原则</w:t>
      </w:r>
    </w:p>
    <w:p w14:paraId="33E0BDD9">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本次评价工作本着问题导向、系统评价、科学客观、讲求绩效的原则，采用全面评价和重点评价相结合、现场评价和非现场评价相结合、定性分析与定量分析相结合的方式，对</w:t>
      </w:r>
      <w:r>
        <w:rPr>
          <w:rFonts w:hint="eastAsia" w:ascii="仿宋" w:hAnsi="仿宋" w:eastAsia="仿宋" w:cs="仿宋"/>
          <w:bCs/>
          <w:color w:val="auto"/>
          <w:sz w:val="32"/>
          <w:szCs w:val="32"/>
          <w:lang w:val="en-US" w:eastAsia="zh-CN"/>
        </w:rPr>
        <w:t>洋渡实验学校</w:t>
      </w:r>
      <w:r>
        <w:rPr>
          <w:rFonts w:hint="eastAsia" w:ascii="仿宋" w:hAnsi="仿宋" w:eastAsia="仿宋" w:cs="仿宋"/>
          <w:bCs/>
          <w:color w:val="auto"/>
          <w:sz w:val="32"/>
          <w:szCs w:val="32"/>
        </w:rPr>
        <w:t>整体的</w:t>
      </w:r>
      <w:r>
        <w:rPr>
          <w:rFonts w:hint="eastAsia" w:ascii="仿宋" w:hAnsi="仿宋" w:eastAsia="仿宋" w:cs="仿宋"/>
          <w:bCs/>
          <w:color w:val="auto"/>
          <w:sz w:val="32"/>
          <w:szCs w:val="32"/>
          <w:lang w:val="en-US" w:eastAsia="zh-CN"/>
        </w:rPr>
        <w:t>基本履职绩效和重点履职绩效</w:t>
      </w:r>
      <w:r>
        <w:rPr>
          <w:rFonts w:hint="eastAsia" w:ascii="仿宋" w:hAnsi="仿宋" w:eastAsia="仿宋" w:cs="仿宋"/>
          <w:bCs/>
          <w:color w:val="auto"/>
          <w:sz w:val="32"/>
          <w:szCs w:val="32"/>
        </w:rPr>
        <w:t>情况开展绩效评价</w:t>
      </w:r>
    </w:p>
    <w:p w14:paraId="4A7F7C6F">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2"/>
        <w:rPr>
          <w:rFonts w:ascii="仿宋" w:hAnsi="仿宋" w:eastAsia="仿宋" w:cs="仿宋"/>
          <w:b/>
          <w:color w:val="auto"/>
          <w:sz w:val="32"/>
          <w:szCs w:val="32"/>
        </w:rPr>
      </w:pPr>
      <w:r>
        <w:rPr>
          <w:rFonts w:ascii="仿宋" w:hAnsi="仿宋" w:eastAsia="仿宋" w:cs="仿宋"/>
          <w:b/>
          <w:color w:val="auto"/>
          <w:sz w:val="32"/>
          <w:szCs w:val="32"/>
        </w:rPr>
        <w:t>2.</w:t>
      </w:r>
      <w:r>
        <w:rPr>
          <w:rFonts w:hint="eastAsia" w:ascii="仿宋" w:hAnsi="仿宋" w:eastAsia="仿宋" w:cs="仿宋"/>
          <w:b/>
          <w:color w:val="auto"/>
          <w:sz w:val="32"/>
          <w:szCs w:val="32"/>
        </w:rPr>
        <w:t>评价方法</w:t>
      </w:r>
    </w:p>
    <w:p w14:paraId="551E119F">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围绕</w:t>
      </w:r>
      <w:r>
        <w:rPr>
          <w:rFonts w:hint="eastAsia" w:ascii="仿宋" w:hAnsi="仿宋" w:eastAsia="仿宋" w:cs="仿宋"/>
          <w:bCs/>
          <w:color w:val="auto"/>
          <w:sz w:val="32"/>
          <w:szCs w:val="32"/>
          <w:highlight w:val="none"/>
          <w:lang w:val="en-US" w:eastAsia="zh-CN"/>
        </w:rPr>
        <w:t>洋渡实验学校</w:t>
      </w:r>
      <w:r>
        <w:rPr>
          <w:rFonts w:hint="eastAsia" w:ascii="仿宋" w:hAnsi="仿宋" w:eastAsia="仿宋" w:cs="仿宋"/>
          <w:bCs/>
          <w:color w:val="auto"/>
          <w:sz w:val="32"/>
          <w:szCs w:val="32"/>
        </w:rPr>
        <w:t>单位职责，以预算资金管理为主线，统筹考虑业务活动，立足统计工作的定位，确保“职能</w:t>
      </w:r>
      <w:r>
        <w:rPr>
          <w:rFonts w:hint="eastAsia" w:ascii="仿宋" w:hAnsi="仿宋" w:eastAsia="仿宋" w:cs="仿宋"/>
          <w:bCs/>
          <w:color w:val="auto"/>
          <w:sz w:val="32"/>
          <w:szCs w:val="32"/>
          <w:lang w:eastAsia="zh-CN"/>
        </w:rPr>
        <w:t>－</w:t>
      </w:r>
      <w:r>
        <w:rPr>
          <w:rFonts w:hint="eastAsia" w:ascii="仿宋" w:hAnsi="仿宋" w:eastAsia="仿宋" w:cs="仿宋"/>
          <w:bCs/>
          <w:color w:val="auto"/>
          <w:sz w:val="32"/>
          <w:szCs w:val="32"/>
        </w:rPr>
        <w:t>机构</w:t>
      </w:r>
      <w:r>
        <w:rPr>
          <w:rFonts w:hint="eastAsia" w:ascii="仿宋" w:hAnsi="仿宋" w:eastAsia="仿宋" w:cs="仿宋"/>
          <w:bCs/>
          <w:color w:val="auto"/>
          <w:sz w:val="32"/>
          <w:szCs w:val="32"/>
          <w:lang w:eastAsia="zh-CN"/>
        </w:rPr>
        <w:t>－</w:t>
      </w:r>
      <w:r>
        <w:rPr>
          <w:rFonts w:hint="eastAsia" w:ascii="仿宋" w:hAnsi="仿宋" w:eastAsia="仿宋" w:cs="仿宋"/>
          <w:bCs/>
          <w:color w:val="auto"/>
          <w:sz w:val="32"/>
          <w:szCs w:val="32"/>
        </w:rPr>
        <w:t>资金</w:t>
      </w:r>
      <w:r>
        <w:rPr>
          <w:rFonts w:hint="eastAsia" w:ascii="仿宋" w:hAnsi="仿宋" w:eastAsia="仿宋" w:cs="仿宋"/>
          <w:bCs/>
          <w:color w:val="auto"/>
          <w:sz w:val="32"/>
          <w:szCs w:val="32"/>
          <w:lang w:eastAsia="zh-CN"/>
        </w:rPr>
        <w:t>－</w:t>
      </w:r>
      <w:r>
        <w:rPr>
          <w:rFonts w:hint="eastAsia" w:ascii="仿宋" w:hAnsi="仿宋" w:eastAsia="仿宋" w:cs="仿宋"/>
          <w:bCs/>
          <w:color w:val="auto"/>
          <w:sz w:val="32"/>
          <w:szCs w:val="32"/>
          <w:lang w:val="en-US" w:eastAsia="zh-CN"/>
        </w:rPr>
        <w:t>绩效</w:t>
      </w:r>
      <w:r>
        <w:rPr>
          <w:rFonts w:hint="eastAsia" w:ascii="仿宋" w:hAnsi="仿宋" w:eastAsia="仿宋" w:cs="仿宋"/>
          <w:bCs/>
          <w:color w:val="auto"/>
          <w:sz w:val="32"/>
          <w:szCs w:val="32"/>
        </w:rPr>
        <w:t>”的有效衔接。评价过程中主要采用卷宗研究法、对比分析法、公众评判法、成本效益分析法、因素分析法等方法。</w:t>
      </w:r>
    </w:p>
    <w:p w14:paraId="350FD96E">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2"/>
        <w:rPr>
          <w:rFonts w:hint="eastAsia" w:ascii="仿宋" w:hAnsi="仿宋" w:eastAsia="仿宋" w:cs="仿宋"/>
          <w:b/>
          <w:color w:val="auto"/>
          <w:sz w:val="32"/>
          <w:szCs w:val="32"/>
        </w:rPr>
      </w:pPr>
      <w:r>
        <w:rPr>
          <w:rFonts w:hint="eastAsia" w:ascii="仿宋" w:hAnsi="仿宋" w:eastAsia="仿宋" w:cs="仿宋"/>
          <w:b/>
          <w:color w:val="auto"/>
          <w:sz w:val="32"/>
          <w:szCs w:val="32"/>
        </w:rPr>
        <w:t>3.评价指标体系</w:t>
      </w:r>
    </w:p>
    <w:p w14:paraId="26772BBB">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lang w:eastAsia="zh-CN"/>
        </w:rPr>
      </w:pPr>
      <w:r>
        <w:rPr>
          <w:rFonts w:hint="eastAsia" w:ascii="仿宋" w:hAnsi="仿宋" w:eastAsia="仿宋" w:cs="仿宋"/>
          <w:bCs/>
          <w:color w:val="auto"/>
          <w:sz w:val="32"/>
          <w:szCs w:val="32"/>
        </w:rPr>
        <w:t>本次评价工作设置指标体系包括</w:t>
      </w:r>
      <w:r>
        <w:rPr>
          <w:rFonts w:hint="eastAsia" w:ascii="仿宋" w:hAnsi="仿宋" w:eastAsia="仿宋" w:cs="仿宋"/>
          <w:bCs/>
          <w:color w:val="auto"/>
          <w:sz w:val="32"/>
          <w:szCs w:val="32"/>
          <w:lang w:val="en-US" w:eastAsia="zh-CN"/>
        </w:rPr>
        <w:t>部门预算管理、绩效结果应用和自评质量3</w:t>
      </w:r>
      <w:r>
        <w:rPr>
          <w:rFonts w:hint="eastAsia" w:ascii="仿宋" w:hAnsi="仿宋" w:eastAsia="仿宋" w:cs="仿宋"/>
          <w:bCs/>
          <w:color w:val="auto"/>
          <w:sz w:val="32"/>
          <w:szCs w:val="32"/>
        </w:rPr>
        <w:t>个一级指标，</w:t>
      </w:r>
      <w:r>
        <w:rPr>
          <w:rFonts w:hint="eastAsia" w:ascii="仿宋" w:hAnsi="仿宋" w:eastAsia="仿宋" w:cs="仿宋"/>
          <w:bCs/>
          <w:color w:val="auto"/>
          <w:sz w:val="32"/>
          <w:szCs w:val="32"/>
          <w:lang w:val="en-US" w:eastAsia="zh-CN"/>
        </w:rPr>
        <w:t>6</w:t>
      </w:r>
      <w:r>
        <w:rPr>
          <w:rFonts w:hint="eastAsia" w:ascii="仿宋" w:hAnsi="仿宋" w:eastAsia="仿宋" w:cs="仿宋"/>
          <w:bCs/>
          <w:color w:val="auto"/>
          <w:sz w:val="32"/>
          <w:szCs w:val="32"/>
        </w:rPr>
        <w:t>个二级指标和</w:t>
      </w:r>
      <w:r>
        <w:rPr>
          <w:rFonts w:hint="eastAsia" w:ascii="仿宋" w:hAnsi="仿宋" w:eastAsia="仿宋" w:cs="仿宋"/>
          <w:bCs/>
          <w:color w:val="auto"/>
          <w:sz w:val="32"/>
          <w:szCs w:val="32"/>
          <w:lang w:val="en-US" w:eastAsia="zh-CN"/>
        </w:rPr>
        <w:t>12</w:t>
      </w:r>
      <w:r>
        <w:rPr>
          <w:rFonts w:hint="eastAsia" w:ascii="仿宋" w:hAnsi="仿宋" w:eastAsia="仿宋" w:cs="仿宋"/>
          <w:bCs/>
          <w:color w:val="auto"/>
          <w:sz w:val="32"/>
          <w:szCs w:val="32"/>
        </w:rPr>
        <w:t>个三级指标，指标体系详见附件。指标体系</w:t>
      </w:r>
      <w:r>
        <w:rPr>
          <w:rFonts w:hint="eastAsia" w:ascii="仿宋" w:hAnsi="仿宋" w:eastAsia="仿宋" w:cs="仿宋"/>
          <w:bCs/>
          <w:color w:val="auto"/>
          <w:sz w:val="32"/>
          <w:szCs w:val="32"/>
          <w:lang w:eastAsia="zh-CN"/>
        </w:rPr>
        <w:t>分值</w:t>
      </w:r>
      <w:r>
        <w:rPr>
          <w:rFonts w:hint="eastAsia" w:ascii="仿宋" w:hAnsi="仿宋" w:eastAsia="仿宋" w:cs="仿宋"/>
          <w:bCs/>
          <w:color w:val="auto"/>
          <w:sz w:val="32"/>
          <w:szCs w:val="32"/>
        </w:rPr>
        <w:t>为100分</w:t>
      </w:r>
      <w:r>
        <w:rPr>
          <w:rFonts w:hint="eastAsia" w:ascii="仿宋" w:hAnsi="仿宋" w:eastAsia="仿宋" w:cs="仿宋"/>
          <w:bCs/>
          <w:color w:val="auto"/>
          <w:sz w:val="32"/>
          <w:szCs w:val="32"/>
          <w:lang w:eastAsia="zh-CN"/>
        </w:rPr>
        <w:t>。</w:t>
      </w:r>
    </w:p>
    <w:p w14:paraId="47C5C9FE">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2"/>
        <w:rPr>
          <w:rFonts w:hint="eastAsia" w:ascii="仿宋" w:hAnsi="仿宋" w:eastAsia="仿宋" w:cs="仿宋"/>
          <w:b/>
          <w:color w:val="auto"/>
          <w:sz w:val="32"/>
          <w:szCs w:val="32"/>
          <w:lang w:eastAsia="zh-CN"/>
        </w:rPr>
      </w:pPr>
      <w:r>
        <w:rPr>
          <w:rFonts w:hint="eastAsia" w:ascii="仿宋" w:hAnsi="仿宋" w:eastAsia="仿宋" w:cs="仿宋"/>
          <w:b/>
          <w:color w:val="auto"/>
          <w:sz w:val="32"/>
          <w:szCs w:val="32"/>
          <w:lang w:val="en-US" w:eastAsia="zh-CN"/>
        </w:rPr>
        <w:t>4.</w:t>
      </w:r>
      <w:r>
        <w:rPr>
          <w:rFonts w:hint="eastAsia" w:ascii="仿宋" w:hAnsi="仿宋" w:eastAsia="仿宋" w:cs="仿宋"/>
          <w:b/>
          <w:color w:val="auto"/>
          <w:sz w:val="32"/>
          <w:szCs w:val="32"/>
          <w:lang w:eastAsia="zh-CN"/>
        </w:rPr>
        <w:t>评价标准</w:t>
      </w:r>
    </w:p>
    <w:p w14:paraId="5392321B">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lang w:eastAsia="zh-CN"/>
        </w:rPr>
      </w:pPr>
      <w:r>
        <w:rPr>
          <w:rFonts w:hint="eastAsia" w:ascii="仿宋" w:hAnsi="仿宋" w:eastAsia="仿宋" w:cs="仿宋"/>
          <w:bCs/>
          <w:color w:val="auto"/>
          <w:sz w:val="32"/>
          <w:szCs w:val="32"/>
          <w:lang w:eastAsia="zh-CN"/>
        </w:rPr>
        <w:t>本次评价结果参考《财政部关于印发&lt;项目支出绩效评价管理办法&gt;的通知》（财预〔2020〕10号）要求分为四个等级，分为优、良、中、差。</w:t>
      </w:r>
    </w:p>
    <w:p w14:paraId="7F3C0DB9">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lang w:eastAsia="zh-CN"/>
        </w:rPr>
      </w:pPr>
      <w:r>
        <w:rPr>
          <w:rFonts w:hint="eastAsia" w:ascii="仿宋" w:hAnsi="仿宋" w:eastAsia="仿宋" w:cs="仿宋"/>
          <w:bCs/>
          <w:color w:val="auto"/>
          <w:sz w:val="32"/>
          <w:szCs w:val="32"/>
          <w:lang w:eastAsia="zh-CN"/>
        </w:rPr>
        <w:t>综合得分在100—90分（含90分）为优；</w:t>
      </w:r>
    </w:p>
    <w:p w14:paraId="1DDC0E97">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lang w:eastAsia="zh-CN"/>
        </w:rPr>
      </w:pPr>
      <w:r>
        <w:rPr>
          <w:rFonts w:hint="eastAsia" w:ascii="仿宋" w:hAnsi="仿宋" w:eastAsia="仿宋" w:cs="仿宋"/>
          <w:bCs/>
          <w:color w:val="auto"/>
          <w:sz w:val="32"/>
          <w:szCs w:val="32"/>
          <w:lang w:eastAsia="zh-CN"/>
        </w:rPr>
        <w:t>综合得分在90—80分（含80分）为良；</w:t>
      </w:r>
    </w:p>
    <w:p w14:paraId="209BA077">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lang w:eastAsia="zh-CN"/>
        </w:rPr>
      </w:pPr>
      <w:r>
        <w:rPr>
          <w:rFonts w:hint="eastAsia" w:ascii="仿宋" w:hAnsi="仿宋" w:eastAsia="仿宋" w:cs="仿宋"/>
          <w:bCs/>
          <w:color w:val="auto"/>
          <w:sz w:val="32"/>
          <w:szCs w:val="32"/>
          <w:lang w:eastAsia="zh-CN"/>
        </w:rPr>
        <w:t>综合得分在80—60分（含60分）为中；</w:t>
      </w:r>
    </w:p>
    <w:p w14:paraId="4F75EBF6">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lang w:eastAsia="zh-CN"/>
        </w:rPr>
      </w:pPr>
      <w:r>
        <w:rPr>
          <w:rFonts w:hint="eastAsia" w:ascii="仿宋" w:hAnsi="仿宋" w:eastAsia="仿宋" w:cs="仿宋"/>
          <w:bCs/>
          <w:color w:val="auto"/>
          <w:sz w:val="32"/>
          <w:szCs w:val="32"/>
          <w:lang w:eastAsia="zh-CN"/>
        </w:rPr>
        <w:t>综合得分在60分以下为差。</w:t>
      </w:r>
    </w:p>
    <w:p w14:paraId="62B8916C">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1"/>
        <w:rPr>
          <w:rFonts w:ascii="楷体" w:hAnsi="楷体" w:eastAsia="楷体"/>
          <w:b/>
          <w:bCs/>
          <w:color w:val="auto"/>
          <w:sz w:val="32"/>
          <w:szCs w:val="32"/>
        </w:rPr>
      </w:pPr>
      <w:bookmarkStart w:id="349" w:name="_Toc518"/>
      <w:bookmarkStart w:id="350" w:name="_Toc2849"/>
      <w:bookmarkStart w:id="351" w:name="_Toc12111"/>
      <w:bookmarkStart w:id="352" w:name="_Toc25065"/>
      <w:bookmarkStart w:id="353" w:name="_Toc10592"/>
      <w:bookmarkStart w:id="354" w:name="_Toc13"/>
      <w:bookmarkStart w:id="355" w:name="_Toc17816"/>
      <w:bookmarkStart w:id="356" w:name="_Toc15071"/>
      <w:r>
        <w:rPr>
          <w:rFonts w:hint="eastAsia" w:ascii="楷体" w:hAnsi="楷体" w:eastAsia="楷体"/>
          <w:b/>
          <w:bCs/>
          <w:color w:val="auto"/>
          <w:sz w:val="32"/>
          <w:szCs w:val="32"/>
        </w:rPr>
        <w:t>（三）绩效评价工作过程</w:t>
      </w:r>
      <w:bookmarkEnd w:id="349"/>
      <w:bookmarkEnd w:id="350"/>
      <w:bookmarkEnd w:id="351"/>
      <w:bookmarkEnd w:id="352"/>
      <w:bookmarkEnd w:id="353"/>
      <w:bookmarkEnd w:id="354"/>
      <w:bookmarkEnd w:id="355"/>
      <w:bookmarkEnd w:id="356"/>
    </w:p>
    <w:p w14:paraId="26FD880E">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2"/>
        <w:rPr>
          <w:rFonts w:ascii="仿宋" w:hAnsi="仿宋" w:eastAsia="仿宋" w:cs="仿宋"/>
          <w:b/>
          <w:color w:val="auto"/>
          <w:sz w:val="32"/>
          <w:szCs w:val="32"/>
        </w:rPr>
      </w:pPr>
      <w:r>
        <w:rPr>
          <w:rFonts w:ascii="仿宋" w:hAnsi="仿宋" w:eastAsia="仿宋" w:cs="仿宋"/>
          <w:b/>
          <w:color w:val="auto"/>
          <w:sz w:val="32"/>
          <w:szCs w:val="32"/>
        </w:rPr>
        <w:t>1.</w:t>
      </w:r>
      <w:r>
        <w:rPr>
          <w:rFonts w:hint="eastAsia" w:ascii="仿宋" w:hAnsi="仿宋" w:eastAsia="仿宋" w:cs="仿宋"/>
          <w:b/>
          <w:color w:val="auto"/>
          <w:sz w:val="32"/>
          <w:szCs w:val="32"/>
        </w:rPr>
        <w:t>准备阶段</w:t>
      </w:r>
    </w:p>
    <w:p w14:paraId="1E642895">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接受</w:t>
      </w:r>
      <w:r>
        <w:rPr>
          <w:rFonts w:hint="eastAsia" w:ascii="仿宋" w:hAnsi="仿宋" w:eastAsia="仿宋" w:cs="仿宋"/>
          <w:bCs/>
          <w:color w:val="auto"/>
          <w:sz w:val="32"/>
          <w:szCs w:val="32"/>
          <w:lang w:val="en-US" w:eastAsia="zh-CN"/>
        </w:rPr>
        <w:t>遂宁市河东新区财政金融国资管理局委托</w:t>
      </w:r>
      <w:r>
        <w:rPr>
          <w:rFonts w:hint="eastAsia" w:ascii="仿宋" w:hAnsi="仿宋" w:eastAsia="仿宋" w:cs="仿宋"/>
          <w:bCs/>
          <w:color w:val="auto"/>
          <w:sz w:val="32"/>
          <w:szCs w:val="32"/>
        </w:rPr>
        <w:t>，组建评价工作组。与单位财务管理部对接，明确具体工作安排及要求，初步沟通并收取部分单位基础材料。通过查看</w:t>
      </w:r>
      <w:r>
        <w:rPr>
          <w:rFonts w:hint="eastAsia" w:ascii="仿宋" w:hAnsi="仿宋" w:eastAsia="仿宋" w:cs="仿宋"/>
          <w:bCs/>
          <w:color w:val="auto"/>
          <w:sz w:val="32"/>
          <w:szCs w:val="32"/>
          <w:lang w:val="en-US" w:eastAsia="zh-CN"/>
        </w:rPr>
        <w:t>洋渡实验学校</w:t>
      </w:r>
      <w:r>
        <w:rPr>
          <w:rFonts w:hint="eastAsia" w:ascii="仿宋" w:hAnsi="仿宋" w:eastAsia="仿宋" w:cs="仿宋"/>
          <w:bCs/>
          <w:color w:val="auto"/>
          <w:sz w:val="32"/>
          <w:szCs w:val="32"/>
        </w:rPr>
        <w:t>初步提交的资料，及网上查阅资料，了解</w:t>
      </w:r>
      <w:r>
        <w:rPr>
          <w:rFonts w:hint="eastAsia" w:ascii="仿宋" w:hAnsi="仿宋" w:eastAsia="仿宋" w:cs="仿宋"/>
          <w:bCs/>
          <w:color w:val="auto"/>
          <w:sz w:val="32"/>
          <w:szCs w:val="32"/>
          <w:lang w:eastAsia="zh-CN"/>
        </w:rPr>
        <w:t>洋渡实验学校</w:t>
      </w:r>
      <w:r>
        <w:rPr>
          <w:rFonts w:hint="eastAsia" w:ascii="仿宋" w:hAnsi="仿宋" w:eastAsia="仿宋" w:cs="仿宋"/>
          <w:bCs/>
          <w:color w:val="auto"/>
          <w:sz w:val="32"/>
          <w:szCs w:val="32"/>
        </w:rPr>
        <w:t>整体情况、各</w:t>
      </w:r>
      <w:r>
        <w:rPr>
          <w:rFonts w:hint="eastAsia" w:ascii="仿宋" w:hAnsi="仿宋" w:eastAsia="仿宋" w:cs="仿宋"/>
          <w:bCs/>
          <w:color w:val="auto"/>
          <w:sz w:val="32"/>
          <w:szCs w:val="32"/>
          <w:lang w:val="en-US" w:eastAsia="zh-CN"/>
        </w:rPr>
        <w:t>办公室</w:t>
      </w:r>
      <w:r>
        <w:rPr>
          <w:rFonts w:hint="eastAsia" w:ascii="仿宋" w:hAnsi="仿宋" w:eastAsia="仿宋" w:cs="仿宋"/>
          <w:bCs/>
          <w:color w:val="auto"/>
          <w:sz w:val="32"/>
          <w:szCs w:val="32"/>
        </w:rPr>
        <w:t>工作职责及20</w:t>
      </w:r>
      <w:r>
        <w:rPr>
          <w:rFonts w:hint="eastAsia" w:ascii="仿宋" w:hAnsi="仿宋" w:eastAsia="仿宋" w:cs="仿宋"/>
          <w:bCs/>
          <w:color w:val="auto"/>
          <w:sz w:val="32"/>
          <w:szCs w:val="32"/>
          <w:lang w:val="en-US" w:eastAsia="zh-CN"/>
        </w:rPr>
        <w:t>21</w:t>
      </w:r>
      <w:r>
        <w:rPr>
          <w:rFonts w:hint="eastAsia" w:ascii="仿宋" w:hAnsi="仿宋" w:eastAsia="仿宋" w:cs="仿宋"/>
          <w:bCs/>
          <w:color w:val="auto"/>
          <w:sz w:val="32"/>
          <w:szCs w:val="32"/>
        </w:rPr>
        <w:t>年工作完成情况，明确评价思路，初步拟定评价指标体系及评分标准。</w:t>
      </w:r>
    </w:p>
    <w:p w14:paraId="5E1AF6C6">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2"/>
        <w:rPr>
          <w:rFonts w:ascii="仿宋" w:hAnsi="仿宋" w:eastAsia="仿宋" w:cs="仿宋"/>
          <w:b/>
          <w:color w:val="auto"/>
          <w:sz w:val="32"/>
          <w:szCs w:val="32"/>
        </w:rPr>
      </w:pPr>
      <w:r>
        <w:rPr>
          <w:rFonts w:ascii="仿宋" w:hAnsi="仿宋" w:eastAsia="仿宋" w:cs="仿宋"/>
          <w:b/>
          <w:color w:val="auto"/>
          <w:sz w:val="32"/>
          <w:szCs w:val="32"/>
        </w:rPr>
        <w:t>2.</w:t>
      </w:r>
      <w:r>
        <w:rPr>
          <w:rFonts w:hint="eastAsia" w:ascii="仿宋" w:hAnsi="仿宋" w:eastAsia="仿宋" w:cs="仿宋"/>
          <w:b/>
          <w:color w:val="auto"/>
          <w:sz w:val="32"/>
          <w:szCs w:val="32"/>
        </w:rPr>
        <w:t>实施阶段</w:t>
      </w:r>
    </w:p>
    <w:p w14:paraId="50910F6B">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cs="仿宋"/>
          <w:bCs/>
          <w:color w:val="auto"/>
          <w:sz w:val="32"/>
          <w:szCs w:val="32"/>
        </w:rPr>
      </w:pPr>
      <w:r>
        <w:rPr>
          <w:rFonts w:hint="eastAsia" w:ascii="仿宋" w:hAnsi="仿宋" w:eastAsia="仿宋" w:cs="仿宋"/>
          <w:bCs/>
          <w:color w:val="auto"/>
          <w:sz w:val="32"/>
          <w:szCs w:val="32"/>
        </w:rPr>
        <w:t>按照既定的安排开展现场评价工作。评价工作组逐一对单位本级各</w:t>
      </w:r>
      <w:r>
        <w:rPr>
          <w:rFonts w:hint="eastAsia" w:ascii="仿宋" w:hAnsi="仿宋" w:eastAsia="仿宋" w:cs="仿宋"/>
          <w:bCs/>
          <w:color w:val="auto"/>
          <w:sz w:val="32"/>
          <w:szCs w:val="32"/>
          <w:lang w:val="en-US" w:eastAsia="zh-CN"/>
        </w:rPr>
        <w:t>办公室</w:t>
      </w:r>
      <w:r>
        <w:rPr>
          <w:rFonts w:hint="eastAsia" w:ascii="仿宋" w:hAnsi="仿宋" w:eastAsia="仿宋" w:cs="仿宋"/>
          <w:bCs/>
          <w:color w:val="auto"/>
          <w:sz w:val="32"/>
          <w:szCs w:val="32"/>
        </w:rPr>
        <w:t>进行座谈，了解各</w:t>
      </w:r>
      <w:r>
        <w:rPr>
          <w:rFonts w:hint="eastAsia" w:ascii="仿宋" w:hAnsi="仿宋" w:eastAsia="仿宋" w:cs="仿宋"/>
          <w:bCs/>
          <w:color w:val="auto"/>
          <w:sz w:val="32"/>
          <w:szCs w:val="32"/>
          <w:lang w:val="en-US" w:eastAsia="zh-CN"/>
        </w:rPr>
        <w:t>办公室</w:t>
      </w:r>
      <w:r>
        <w:rPr>
          <w:rFonts w:hint="eastAsia" w:ascii="仿宋" w:hAnsi="仿宋" w:eastAsia="仿宋" w:cs="仿宋"/>
          <w:bCs/>
          <w:color w:val="auto"/>
          <w:sz w:val="32"/>
          <w:szCs w:val="32"/>
        </w:rPr>
        <w:t>工作职责、年度工作内容及完成情况等。同时对单位</w:t>
      </w:r>
      <w:r>
        <w:rPr>
          <w:rFonts w:hint="eastAsia" w:ascii="仿宋" w:hAnsi="仿宋" w:eastAsia="仿宋" w:cs="仿宋"/>
          <w:bCs/>
          <w:color w:val="auto"/>
          <w:sz w:val="32"/>
          <w:szCs w:val="32"/>
          <w:lang w:val="en-US" w:eastAsia="zh-CN"/>
        </w:rPr>
        <w:t>2021</w:t>
      </w:r>
      <w:r>
        <w:rPr>
          <w:rFonts w:hint="eastAsia" w:ascii="仿宋" w:hAnsi="仿宋" w:eastAsia="仿宋" w:cs="仿宋"/>
          <w:bCs/>
          <w:color w:val="auto"/>
          <w:sz w:val="32"/>
          <w:szCs w:val="32"/>
        </w:rPr>
        <w:t>年财务工作情况进行梳理及资料查看。</w:t>
      </w:r>
    </w:p>
    <w:p w14:paraId="6C84EFAC">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在座谈调研沟通的基础上，评价机构通过对项目资料的进一步分析，并结合现场调研了解的情况，对项目的疑难点进行梳理，同时补收评价资料。</w:t>
      </w:r>
    </w:p>
    <w:p w14:paraId="700F39B4">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2"/>
        <w:rPr>
          <w:rFonts w:ascii="仿宋" w:hAnsi="仿宋" w:eastAsia="仿宋" w:cs="仿宋"/>
          <w:b/>
          <w:color w:val="auto"/>
          <w:sz w:val="32"/>
          <w:szCs w:val="32"/>
        </w:rPr>
      </w:pPr>
      <w:r>
        <w:rPr>
          <w:rFonts w:ascii="仿宋" w:hAnsi="仿宋" w:eastAsia="仿宋" w:cs="仿宋"/>
          <w:b/>
          <w:color w:val="auto"/>
          <w:sz w:val="32"/>
          <w:szCs w:val="32"/>
        </w:rPr>
        <w:t>3.</w:t>
      </w:r>
      <w:r>
        <w:rPr>
          <w:rFonts w:hint="eastAsia" w:ascii="仿宋" w:hAnsi="仿宋" w:eastAsia="仿宋" w:cs="仿宋"/>
          <w:b/>
          <w:color w:val="auto"/>
          <w:sz w:val="32"/>
          <w:szCs w:val="32"/>
        </w:rPr>
        <w:t>总结报告阶段</w:t>
      </w:r>
    </w:p>
    <w:p w14:paraId="48F2C022">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评价工作组在梳理、分析调研资料和相关数据的基础上，结合文献研究，对单位整体的投入、过程、产出和效益等方面进行综合分析和评价，形成绩效评价结论，按照规定的文本格式和内容撰写绩效评价报告</w:t>
      </w:r>
      <w:r>
        <w:rPr>
          <w:rFonts w:hint="eastAsia" w:ascii="仿宋" w:hAnsi="仿宋" w:eastAsia="仿宋" w:cs="仿宋"/>
          <w:bCs/>
          <w:color w:val="auto"/>
          <w:sz w:val="32"/>
          <w:szCs w:val="32"/>
          <w:lang w:eastAsia="zh-CN"/>
        </w:rPr>
        <w:t>，</w:t>
      </w:r>
      <w:r>
        <w:rPr>
          <w:rFonts w:hint="eastAsia" w:ascii="仿宋" w:hAnsi="仿宋" w:eastAsia="仿宋" w:cs="仿宋"/>
          <w:bCs/>
          <w:color w:val="auto"/>
          <w:sz w:val="32"/>
          <w:szCs w:val="32"/>
          <w:lang w:val="en-US" w:eastAsia="zh-CN"/>
        </w:rPr>
        <w:t>并征求委托单位意见，修改完善报告，完成报告质量内部质控等工作</w:t>
      </w:r>
      <w:r>
        <w:rPr>
          <w:rFonts w:hint="eastAsia" w:ascii="仿宋" w:hAnsi="仿宋" w:eastAsia="仿宋" w:cs="仿宋"/>
          <w:bCs/>
          <w:color w:val="auto"/>
          <w:sz w:val="32"/>
          <w:szCs w:val="32"/>
        </w:rPr>
        <w:t>。</w:t>
      </w:r>
    </w:p>
    <w:p w14:paraId="163E3021">
      <w:pPr>
        <w:pStyle w:val="3"/>
        <w:pageBreakBefore w:val="0"/>
        <w:numPr>
          <w:ilvl w:val="0"/>
          <w:numId w:val="0"/>
        </w:numPr>
        <w:kinsoku/>
        <w:wordWrap/>
        <w:overflowPunct/>
        <w:topLinePunct w:val="0"/>
        <w:autoSpaceDE/>
        <w:autoSpaceDN/>
        <w:bidi w:val="0"/>
        <w:spacing w:line="560" w:lineRule="exact"/>
        <w:ind w:leftChars="200"/>
        <w:rPr>
          <w:rFonts w:hint="eastAsia"/>
          <w:color w:val="auto"/>
        </w:rPr>
      </w:pPr>
      <w:bookmarkStart w:id="357" w:name="_Toc29510"/>
      <w:bookmarkStart w:id="358" w:name="_Toc29596"/>
      <w:bookmarkStart w:id="359" w:name="_Toc28122"/>
      <w:bookmarkStart w:id="360" w:name="_Toc5849"/>
      <w:bookmarkStart w:id="361" w:name="_Toc26599"/>
      <w:bookmarkStart w:id="362" w:name="_Toc26668"/>
      <w:bookmarkStart w:id="363" w:name="_Toc29068"/>
      <w:bookmarkStart w:id="364" w:name="_Toc30511"/>
      <w:r>
        <w:rPr>
          <w:rFonts w:hint="eastAsia"/>
          <w:color w:val="auto"/>
          <w:lang w:eastAsia="zh-CN"/>
        </w:rPr>
        <w:t>四、</w:t>
      </w:r>
      <w:r>
        <w:rPr>
          <w:rFonts w:hint="eastAsia"/>
          <w:color w:val="auto"/>
        </w:rPr>
        <w:t>基本运行绩效情况</w:t>
      </w:r>
      <w:bookmarkEnd w:id="357"/>
      <w:bookmarkEnd w:id="358"/>
      <w:bookmarkEnd w:id="359"/>
      <w:bookmarkEnd w:id="360"/>
      <w:bookmarkEnd w:id="361"/>
      <w:bookmarkEnd w:id="362"/>
      <w:bookmarkEnd w:id="363"/>
      <w:bookmarkEnd w:id="364"/>
    </w:p>
    <w:p w14:paraId="1FB710C8">
      <w:pPr>
        <w:pStyle w:val="5"/>
        <w:pageBreakBefore w:val="0"/>
        <w:widowControl w:val="0"/>
        <w:kinsoku/>
        <w:wordWrap/>
        <w:overflowPunct/>
        <w:topLinePunct w:val="0"/>
        <w:autoSpaceDE/>
        <w:autoSpaceDN/>
        <w:bidi w:val="0"/>
        <w:snapToGrid/>
        <w:spacing w:line="560" w:lineRule="exact"/>
        <w:ind w:left="-10" w:leftChars="0" w:firstLine="643" w:firstLineChars="200"/>
        <w:textAlignment w:val="auto"/>
        <w:rPr>
          <w:color w:val="auto"/>
          <w:highlight w:val="none"/>
        </w:rPr>
      </w:pPr>
      <w:bookmarkStart w:id="365" w:name="_Toc3296"/>
      <w:bookmarkStart w:id="366" w:name="_Toc24963"/>
      <w:bookmarkStart w:id="367" w:name="_Toc19701"/>
      <w:bookmarkStart w:id="368" w:name="_Toc1457"/>
      <w:bookmarkStart w:id="369" w:name="_Toc18875"/>
      <w:bookmarkStart w:id="370" w:name="_Toc3704"/>
      <w:bookmarkStart w:id="371" w:name="_Toc27475"/>
      <w:bookmarkStart w:id="372" w:name="_Toc4587"/>
      <w:r>
        <w:rPr>
          <w:rFonts w:hint="eastAsia"/>
          <w:color w:val="auto"/>
          <w:highlight w:val="none"/>
          <w:lang w:val="en-US" w:eastAsia="zh-CN"/>
        </w:rPr>
        <w:t>预算管理情况</w:t>
      </w:r>
      <w:bookmarkEnd w:id="365"/>
      <w:bookmarkEnd w:id="366"/>
      <w:bookmarkEnd w:id="367"/>
      <w:bookmarkEnd w:id="368"/>
      <w:bookmarkEnd w:id="369"/>
      <w:bookmarkEnd w:id="370"/>
      <w:bookmarkEnd w:id="371"/>
      <w:bookmarkEnd w:id="372"/>
    </w:p>
    <w:p w14:paraId="6006ACFF">
      <w:pPr>
        <w:pStyle w:val="6"/>
        <w:pageBreakBefore w:val="0"/>
        <w:widowControl w:val="0"/>
        <w:numPr>
          <w:ilvl w:val="-1"/>
          <w:numId w:val="0"/>
          <w:ins w:id="1" w:author="WPS_10036724" w:date=""/>
        </w:numPr>
        <w:kinsoku/>
        <w:wordWrap/>
        <w:overflowPunct/>
        <w:topLinePunct w:val="0"/>
        <w:autoSpaceDE/>
        <w:autoSpaceDN/>
        <w:bidi w:val="0"/>
        <w:snapToGrid/>
        <w:spacing w:line="560" w:lineRule="exact"/>
        <w:ind w:left="0" w:leftChars="0" w:firstLine="842" w:firstLineChars="262"/>
        <w:textAlignment w:val="auto"/>
        <w:outlineLvl w:val="2"/>
        <w:rPr>
          <w:rFonts w:hint="eastAsia" w:ascii="仿宋" w:hAnsi="仿宋" w:eastAsia="仿宋" w:cs="仿宋"/>
          <w:b/>
          <w:bCs w:val="0"/>
          <w:color w:val="auto"/>
        </w:rPr>
      </w:pPr>
      <w:r>
        <w:rPr>
          <w:rFonts w:hint="eastAsia" w:ascii="仿宋" w:hAnsi="仿宋" w:eastAsia="仿宋" w:cs="仿宋"/>
          <w:b/>
          <w:bCs w:val="0"/>
          <w:color w:val="auto"/>
          <w:lang w:val="en-US" w:eastAsia="zh-CN"/>
        </w:rPr>
        <w:t>1、内控</w:t>
      </w:r>
      <w:r>
        <w:rPr>
          <w:rFonts w:hint="eastAsia" w:ascii="仿宋" w:hAnsi="仿宋" w:eastAsia="仿宋" w:cs="仿宋"/>
          <w:b/>
          <w:bCs w:val="0"/>
          <w:color w:val="auto"/>
        </w:rPr>
        <w:t>制度建设</w:t>
      </w:r>
    </w:p>
    <w:p w14:paraId="39DA5930">
      <w:pPr>
        <w:pStyle w:val="4"/>
        <w:pageBreakBefore w:val="0"/>
        <w:widowControl w:val="0"/>
        <w:kinsoku/>
        <w:wordWrap/>
        <w:overflowPunct/>
        <w:topLinePunct w:val="0"/>
        <w:autoSpaceDE/>
        <w:autoSpaceDN/>
        <w:bidi w:val="0"/>
        <w:spacing w:line="560" w:lineRule="exact"/>
        <w:ind w:firstLine="640" w:firstLineChars="200"/>
        <w:textAlignment w:val="auto"/>
        <w:rPr>
          <w:rFonts w:hint="default"/>
          <w:color w:val="auto"/>
          <w:highlight w:val="none"/>
          <w:lang w:val="en-US"/>
        </w:rPr>
      </w:pPr>
      <w:r>
        <w:rPr>
          <w:rFonts w:hint="eastAsia"/>
          <w:color w:val="auto"/>
          <w:lang w:val="en-US" w:eastAsia="zh-CN"/>
        </w:rPr>
        <w:t>洋渡实验学校</w:t>
      </w:r>
      <w:r>
        <w:rPr>
          <w:rFonts w:hint="eastAsia"/>
          <w:color w:val="auto"/>
        </w:rPr>
        <w:t>根据《行政事业单位内部控制规范》（财会〔201</w:t>
      </w:r>
      <w:r>
        <w:rPr>
          <w:rFonts w:hint="eastAsia"/>
          <w:color w:val="auto"/>
          <w:lang w:val="en-US" w:eastAsia="zh-CN"/>
        </w:rPr>
        <w:t>2</w:t>
      </w:r>
      <w:r>
        <w:rPr>
          <w:rFonts w:hint="eastAsia"/>
          <w:color w:val="auto"/>
        </w:rPr>
        <w:t>〕</w:t>
      </w:r>
      <w:r>
        <w:rPr>
          <w:rFonts w:hint="eastAsia"/>
          <w:color w:val="auto"/>
          <w:lang w:val="en-US" w:eastAsia="zh-CN"/>
        </w:rPr>
        <w:t>21</w:t>
      </w:r>
      <w:r>
        <w:rPr>
          <w:rFonts w:hint="eastAsia"/>
          <w:color w:val="auto"/>
        </w:rPr>
        <w:t>号）</w:t>
      </w:r>
      <w:r>
        <w:rPr>
          <w:rFonts w:hint="eastAsia"/>
          <w:color w:val="auto"/>
          <w:lang w:eastAsia="zh-CN"/>
        </w:rPr>
        <w:t>、《财政部关于全面推进行政事业单位内部控制建设的指导意见》</w:t>
      </w:r>
      <w:r>
        <w:rPr>
          <w:rFonts w:hint="eastAsia"/>
          <w:color w:val="auto"/>
        </w:rPr>
        <w:t>财会〔201</w:t>
      </w:r>
      <w:r>
        <w:rPr>
          <w:rFonts w:hint="eastAsia"/>
          <w:color w:val="auto"/>
          <w:lang w:val="en-US" w:eastAsia="zh-CN"/>
        </w:rPr>
        <w:t>5</w:t>
      </w:r>
      <w:r>
        <w:rPr>
          <w:rFonts w:hint="eastAsia"/>
          <w:color w:val="auto"/>
        </w:rPr>
        <w:t>〕</w:t>
      </w:r>
      <w:r>
        <w:rPr>
          <w:rFonts w:hint="eastAsia"/>
          <w:color w:val="auto"/>
          <w:lang w:val="en-US" w:eastAsia="zh-CN"/>
        </w:rPr>
        <w:t>24</w:t>
      </w:r>
      <w:r>
        <w:rPr>
          <w:rFonts w:hint="eastAsia"/>
          <w:color w:val="auto"/>
        </w:rPr>
        <w:t>号）</w:t>
      </w:r>
      <w:r>
        <w:rPr>
          <w:rFonts w:hint="eastAsia"/>
          <w:color w:val="auto"/>
          <w:lang w:eastAsia="zh-CN"/>
        </w:rPr>
        <w:t>、</w:t>
      </w:r>
      <w:r>
        <w:rPr>
          <w:rFonts w:hint="eastAsia"/>
          <w:color w:val="auto"/>
        </w:rPr>
        <w:t>《行政事业单位内部控制报告管理制度（试行）</w:t>
      </w:r>
      <w:r>
        <w:rPr>
          <w:rFonts w:hint="eastAsia"/>
          <w:color w:val="auto"/>
          <w:lang w:eastAsia="zh-CN"/>
        </w:rPr>
        <w:t>》</w:t>
      </w:r>
      <w:r>
        <w:rPr>
          <w:rFonts w:hint="eastAsia"/>
          <w:color w:val="auto"/>
        </w:rPr>
        <w:t>（</w:t>
      </w:r>
      <w:r>
        <w:rPr>
          <w:rFonts w:hint="eastAsia"/>
          <w:color w:val="auto"/>
          <w:lang w:val="en-US" w:eastAsia="zh-CN"/>
        </w:rPr>
        <w:t>财政部</w:t>
      </w:r>
      <w:r>
        <w:rPr>
          <w:rFonts w:hint="eastAsia"/>
          <w:color w:val="auto"/>
        </w:rPr>
        <w:t>〔201</w:t>
      </w:r>
      <w:r>
        <w:rPr>
          <w:rFonts w:hint="eastAsia"/>
          <w:color w:val="auto"/>
          <w:lang w:val="en-US" w:eastAsia="zh-CN"/>
        </w:rPr>
        <w:t>7</w:t>
      </w:r>
      <w:r>
        <w:rPr>
          <w:rFonts w:hint="eastAsia"/>
          <w:color w:val="auto"/>
        </w:rPr>
        <w:t>〕</w:t>
      </w:r>
      <w:r>
        <w:rPr>
          <w:rFonts w:hint="eastAsia"/>
          <w:color w:val="auto"/>
          <w:lang w:val="en-US" w:eastAsia="zh-CN"/>
        </w:rPr>
        <w:t>3</w:t>
      </w:r>
      <w:r>
        <w:rPr>
          <w:rFonts w:hint="eastAsia"/>
          <w:color w:val="auto"/>
        </w:rPr>
        <w:t>号）</w:t>
      </w:r>
      <w:r>
        <w:rPr>
          <w:rFonts w:hint="eastAsia"/>
          <w:color w:val="auto"/>
          <w:lang w:val="en-US" w:eastAsia="zh-CN"/>
        </w:rPr>
        <w:t>等法律法规，</w:t>
      </w:r>
      <w:r>
        <w:rPr>
          <w:rFonts w:hint="eastAsia"/>
          <w:color w:val="auto"/>
        </w:rPr>
        <w:t>结合本校的业务性质、业务范围及管理架构</w:t>
      </w:r>
      <w:r>
        <w:rPr>
          <w:rFonts w:hint="eastAsia"/>
          <w:color w:val="auto"/>
          <w:lang w:eastAsia="zh-CN"/>
        </w:rPr>
        <w:t>，</w:t>
      </w:r>
      <w:r>
        <w:rPr>
          <w:rFonts w:hint="eastAsia"/>
          <w:color w:val="auto"/>
          <w:lang w:val="en-US" w:eastAsia="zh-CN"/>
        </w:rPr>
        <w:t>编制了</w:t>
      </w:r>
      <w:r>
        <w:rPr>
          <w:rFonts w:hint="eastAsia"/>
          <w:color w:val="auto"/>
        </w:rPr>
        <w:t>《</w:t>
      </w:r>
      <w:r>
        <w:rPr>
          <w:rFonts w:hint="eastAsia"/>
          <w:color w:val="auto"/>
          <w:lang w:val="en-US" w:eastAsia="zh-CN"/>
        </w:rPr>
        <w:t>遂宁市洋渡实验学校内部控制手册》</w:t>
      </w:r>
      <w:r>
        <w:rPr>
          <w:rFonts w:hint="eastAsia"/>
          <w:color w:val="auto"/>
        </w:rPr>
        <w:t>，</w:t>
      </w:r>
      <w:r>
        <w:rPr>
          <w:rFonts w:hint="eastAsia"/>
          <w:color w:val="auto"/>
          <w:lang w:val="en-US" w:eastAsia="zh-CN"/>
        </w:rPr>
        <w:t>内容明确</w:t>
      </w:r>
      <w:r>
        <w:rPr>
          <w:rFonts w:hint="eastAsia"/>
          <w:color w:val="auto"/>
        </w:rPr>
        <w:t>了</w:t>
      </w:r>
      <w:r>
        <w:rPr>
          <w:rFonts w:hint="eastAsia"/>
          <w:color w:val="auto"/>
          <w:lang w:eastAsia="zh-CN"/>
        </w:rPr>
        <w:t>洋渡实验学校</w:t>
      </w:r>
      <w:r>
        <w:rPr>
          <w:rFonts w:hint="eastAsia"/>
          <w:color w:val="auto"/>
        </w:rPr>
        <w:t>管理机构</w:t>
      </w:r>
      <w:r>
        <w:rPr>
          <w:rFonts w:hint="eastAsia"/>
          <w:color w:val="auto"/>
          <w:lang w:eastAsia="zh-CN"/>
        </w:rPr>
        <w:t>、</w:t>
      </w:r>
      <w:r>
        <w:rPr>
          <w:rFonts w:hint="eastAsia"/>
          <w:color w:val="auto"/>
        </w:rPr>
        <w:t>职</w:t>
      </w:r>
      <w:r>
        <w:rPr>
          <w:rFonts w:hint="eastAsia"/>
          <w:color w:val="auto"/>
          <w:lang w:val="en-US" w:eastAsia="zh-CN"/>
        </w:rPr>
        <w:t>能职责</w:t>
      </w:r>
      <w:r>
        <w:rPr>
          <w:rFonts w:hint="eastAsia"/>
          <w:color w:val="auto"/>
        </w:rPr>
        <w:t>、</w:t>
      </w:r>
      <w:r>
        <w:rPr>
          <w:rFonts w:hint="eastAsia"/>
          <w:color w:val="auto"/>
          <w:lang w:val="en-US" w:eastAsia="zh-CN"/>
        </w:rPr>
        <w:t>预算业务控制建设、收支业务控制建设、资产业务控制建设、采购业务控制建设和内部控制评价与监督等内容</w:t>
      </w:r>
      <w:r>
        <w:rPr>
          <w:rFonts w:hint="eastAsia"/>
          <w:color w:val="auto"/>
        </w:rPr>
        <w:t>。</w:t>
      </w:r>
      <w:r>
        <w:rPr>
          <w:rFonts w:hint="eastAsia"/>
          <w:color w:val="auto"/>
          <w:highlight w:val="none"/>
        </w:rPr>
        <w:t>经评价组核查，</w:t>
      </w:r>
      <w:r>
        <w:rPr>
          <w:rFonts w:hint="eastAsia"/>
          <w:color w:val="auto"/>
          <w:highlight w:val="none"/>
          <w:lang w:val="en-US" w:eastAsia="zh-CN"/>
        </w:rPr>
        <w:t>制度内容合法规范，图表完整。</w:t>
      </w:r>
    </w:p>
    <w:p w14:paraId="7DBCA645">
      <w:pPr>
        <w:pStyle w:val="4"/>
        <w:pageBreakBefore w:val="0"/>
        <w:widowControl w:val="0"/>
        <w:kinsoku/>
        <w:wordWrap/>
        <w:overflowPunct/>
        <w:topLinePunct w:val="0"/>
        <w:autoSpaceDE/>
        <w:autoSpaceDN/>
        <w:bidi w:val="0"/>
        <w:spacing w:line="560" w:lineRule="exact"/>
        <w:ind w:firstLine="643" w:firstLineChars="200"/>
        <w:textAlignment w:val="auto"/>
        <w:outlineLvl w:val="2"/>
        <w:rPr>
          <w:rFonts w:hint="default"/>
          <w:b/>
          <w:bCs/>
          <w:color w:val="auto"/>
          <w:highlight w:val="none"/>
          <w:lang w:val="en-US" w:eastAsia="zh-CN"/>
        </w:rPr>
      </w:pPr>
      <w:r>
        <w:rPr>
          <w:rFonts w:hint="eastAsia"/>
          <w:b/>
          <w:bCs/>
          <w:color w:val="auto"/>
          <w:highlight w:val="none"/>
          <w:lang w:val="en-US" w:eastAsia="zh-CN"/>
        </w:rPr>
        <w:t>2、预决算信息公开情况</w:t>
      </w:r>
    </w:p>
    <w:p w14:paraId="4240995E">
      <w:pPr>
        <w:pStyle w:val="4"/>
        <w:pageBreakBefore w:val="0"/>
        <w:widowControl w:val="0"/>
        <w:kinsoku/>
        <w:wordWrap/>
        <w:overflowPunct/>
        <w:topLinePunct w:val="0"/>
        <w:autoSpaceDE/>
        <w:autoSpaceDN/>
        <w:bidi w:val="0"/>
        <w:snapToGrid/>
        <w:spacing w:line="560" w:lineRule="exact"/>
        <w:ind w:firstLine="640" w:firstLineChars="200"/>
        <w:textAlignment w:val="auto"/>
        <w:rPr>
          <w:rFonts w:hint="eastAsia"/>
          <w:color w:val="auto"/>
          <w:highlight w:val="none"/>
          <w:lang w:val="en-US" w:eastAsia="zh-CN"/>
        </w:rPr>
      </w:pPr>
      <w:r>
        <w:rPr>
          <w:rFonts w:hint="eastAsia"/>
          <w:color w:val="auto"/>
          <w:highlight w:val="none"/>
          <w:lang w:val="en-US" w:eastAsia="zh-CN"/>
        </w:rPr>
        <w:t>洋渡实验学校</w:t>
      </w:r>
      <w:r>
        <w:rPr>
          <w:rFonts w:hint="eastAsia"/>
          <w:color w:val="auto"/>
          <w:lang w:val="en-US" w:eastAsia="zh-CN"/>
        </w:rPr>
        <w:t>严格按照遂宁市河东新区财政金融国资管理局预决算信息公开要求，</w:t>
      </w:r>
      <w:r>
        <w:rPr>
          <w:rFonts w:hint="eastAsia"/>
          <w:color w:val="auto"/>
          <w:highlight w:val="none"/>
          <w:lang w:val="en-US" w:eastAsia="zh-CN"/>
        </w:rPr>
        <w:t>2021年预算编制说明和附件、2021年决算公开编制说明和附件已按规定公开于遂宁市河东新区政府信息公开网</w:t>
      </w:r>
      <w:r>
        <w:rPr>
          <w:rFonts w:hint="eastAsia"/>
          <w:color w:val="auto"/>
          <w:lang w:val="en-US" w:eastAsia="zh-CN"/>
        </w:rPr>
        <w:t>，信息真实、完整</w:t>
      </w:r>
      <w:r>
        <w:rPr>
          <w:rFonts w:hint="eastAsia"/>
          <w:color w:val="auto"/>
          <w:highlight w:val="none"/>
          <w:lang w:val="en-US" w:eastAsia="zh-CN"/>
        </w:rPr>
        <w:t>，符合信息公开相关法律法规规定。</w:t>
      </w:r>
    </w:p>
    <w:p w14:paraId="14C197E0">
      <w:pPr>
        <w:pStyle w:val="5"/>
        <w:pageBreakBefore w:val="0"/>
        <w:widowControl w:val="0"/>
        <w:kinsoku/>
        <w:wordWrap/>
        <w:overflowPunct/>
        <w:topLinePunct w:val="0"/>
        <w:autoSpaceDE/>
        <w:autoSpaceDN/>
        <w:bidi w:val="0"/>
        <w:snapToGrid/>
        <w:spacing w:line="560" w:lineRule="exact"/>
        <w:ind w:left="-10" w:leftChars="0" w:firstLine="643" w:firstLineChars="200"/>
        <w:textAlignment w:val="auto"/>
        <w:rPr>
          <w:color w:val="auto"/>
        </w:rPr>
      </w:pPr>
      <w:bookmarkStart w:id="373" w:name="_Toc27579"/>
      <w:bookmarkStart w:id="374" w:name="_Toc21704"/>
      <w:bookmarkStart w:id="375" w:name="_Toc3310"/>
      <w:bookmarkStart w:id="376" w:name="_Toc31256"/>
      <w:bookmarkStart w:id="377" w:name="_Toc7066"/>
      <w:bookmarkStart w:id="378" w:name="_Toc2398"/>
      <w:bookmarkStart w:id="379" w:name="_Toc6421"/>
      <w:bookmarkStart w:id="380" w:name="_Toc27949"/>
      <w:r>
        <w:rPr>
          <w:rFonts w:hint="eastAsia"/>
          <w:color w:val="auto"/>
        </w:rPr>
        <w:t>财务管理</w:t>
      </w:r>
      <w:bookmarkEnd w:id="373"/>
      <w:bookmarkEnd w:id="374"/>
      <w:bookmarkEnd w:id="375"/>
      <w:bookmarkEnd w:id="376"/>
      <w:bookmarkEnd w:id="377"/>
      <w:bookmarkEnd w:id="378"/>
      <w:bookmarkEnd w:id="379"/>
      <w:bookmarkEnd w:id="380"/>
    </w:p>
    <w:p w14:paraId="26FBD127">
      <w:pPr>
        <w:pStyle w:val="4"/>
        <w:pageBreakBefore w:val="0"/>
        <w:widowControl w:val="0"/>
        <w:kinsoku/>
        <w:wordWrap/>
        <w:overflowPunct/>
        <w:topLinePunct w:val="0"/>
        <w:autoSpaceDE/>
        <w:autoSpaceDN/>
        <w:bidi w:val="0"/>
        <w:snapToGrid/>
        <w:spacing w:line="560" w:lineRule="exact"/>
        <w:ind w:firstLine="640" w:firstLineChars="200"/>
        <w:textAlignment w:val="auto"/>
        <w:rPr>
          <w:rFonts w:hint="eastAsia" w:eastAsia="仿宋_GB2312"/>
          <w:color w:val="auto"/>
          <w:lang w:val="en-US" w:eastAsia="zh-CN"/>
        </w:rPr>
      </w:pPr>
      <w:r>
        <w:rPr>
          <w:rFonts w:hint="eastAsia"/>
          <w:color w:val="auto"/>
          <w:lang w:val="en-US" w:eastAsia="zh-CN"/>
        </w:rPr>
        <w:t>在资金的使用和管理方面，洋渡实验学校依据《中华人民共和国会计法》等相关管理办法和文件，制定《财务管理制度》、《公务接待管理制度》、《公务用车管理制度》等相关财务制度，</w:t>
      </w:r>
      <w:r>
        <w:rPr>
          <w:color w:val="auto"/>
        </w:rPr>
        <w:t>对财务报销、</w:t>
      </w:r>
      <w:r>
        <w:rPr>
          <w:rFonts w:hint="eastAsia"/>
          <w:color w:val="auto"/>
          <w:lang w:val="en-US" w:eastAsia="zh-CN"/>
        </w:rPr>
        <w:t>差旅费</w:t>
      </w:r>
      <w:r>
        <w:rPr>
          <w:color w:val="auto"/>
        </w:rPr>
        <w:t>等各环节作了详细规定</w:t>
      </w:r>
      <w:r>
        <w:rPr>
          <w:rFonts w:hint="eastAsia"/>
          <w:color w:val="auto"/>
          <w:lang w:eastAsia="zh-CN"/>
        </w:rPr>
        <w:t>，</w:t>
      </w:r>
      <w:r>
        <w:rPr>
          <w:rFonts w:hint="eastAsia"/>
          <w:color w:val="auto"/>
          <w:lang w:val="en-US" w:eastAsia="zh-CN"/>
        </w:rPr>
        <w:t>财务管理制度规范、健全。评价组随机抽查“购买教学一体机”项目的</w:t>
      </w:r>
      <w:r>
        <w:rPr>
          <w:rFonts w:hint="eastAsia"/>
          <w:color w:val="auto"/>
        </w:rPr>
        <w:t>凭证</w:t>
      </w:r>
      <w:r>
        <w:rPr>
          <w:rFonts w:hint="eastAsia"/>
          <w:color w:val="auto"/>
          <w:lang w:eastAsia="zh-CN"/>
        </w:rPr>
        <w:t>，</w:t>
      </w:r>
      <w:r>
        <w:rPr>
          <w:rFonts w:hint="eastAsia"/>
          <w:color w:val="auto"/>
          <w:lang w:val="en-US" w:eastAsia="zh-CN"/>
        </w:rPr>
        <w:t>洋渡实验学校按照规定程序，</w:t>
      </w:r>
      <w:r>
        <w:rPr>
          <w:rFonts w:hint="eastAsia"/>
          <w:color w:val="auto"/>
        </w:rPr>
        <w:t>票据齐全</w:t>
      </w:r>
      <w:r>
        <w:rPr>
          <w:rFonts w:hint="eastAsia"/>
          <w:color w:val="auto"/>
          <w:lang w:eastAsia="zh-CN"/>
        </w:rPr>
        <w:t>，</w:t>
      </w:r>
      <w:r>
        <w:rPr>
          <w:rFonts w:hint="eastAsia"/>
          <w:color w:val="auto"/>
          <w:lang w:val="en-US" w:eastAsia="zh-CN"/>
        </w:rPr>
        <w:t>实行逐级审批后支付，</w:t>
      </w:r>
      <w:r>
        <w:rPr>
          <w:rFonts w:hint="eastAsia"/>
          <w:color w:val="auto"/>
        </w:rPr>
        <w:t>审批流程规范</w:t>
      </w:r>
      <w:r>
        <w:rPr>
          <w:rFonts w:hint="eastAsia"/>
          <w:color w:val="auto"/>
          <w:lang w:eastAsia="zh-CN"/>
        </w:rPr>
        <w:t>，</w:t>
      </w:r>
      <w:r>
        <w:rPr>
          <w:rFonts w:hint="eastAsia"/>
          <w:color w:val="auto"/>
          <w:lang w:val="en-US" w:eastAsia="zh-CN"/>
        </w:rPr>
        <w:t>符合管理制度的规定</w:t>
      </w:r>
      <w:r>
        <w:rPr>
          <w:rFonts w:hint="eastAsia"/>
          <w:color w:val="auto"/>
          <w:lang w:eastAsia="zh-CN"/>
        </w:rPr>
        <w:t>。</w:t>
      </w:r>
    </w:p>
    <w:p w14:paraId="72722654">
      <w:pPr>
        <w:pStyle w:val="5"/>
        <w:pageBreakBefore w:val="0"/>
        <w:widowControl w:val="0"/>
        <w:kinsoku/>
        <w:wordWrap/>
        <w:overflowPunct/>
        <w:topLinePunct w:val="0"/>
        <w:autoSpaceDE/>
        <w:autoSpaceDN/>
        <w:bidi w:val="0"/>
        <w:snapToGrid/>
        <w:spacing w:line="560" w:lineRule="exact"/>
        <w:ind w:left="-10" w:leftChars="0" w:firstLine="643" w:firstLineChars="200"/>
        <w:textAlignment w:val="auto"/>
        <w:rPr>
          <w:rFonts w:hint="eastAsia"/>
          <w:color w:val="auto"/>
          <w:lang w:val="en-US" w:eastAsia="zh-CN"/>
        </w:rPr>
      </w:pPr>
      <w:bookmarkStart w:id="381" w:name="_Toc17488"/>
      <w:bookmarkStart w:id="382" w:name="_Toc26595"/>
      <w:bookmarkStart w:id="383" w:name="_Toc27489"/>
      <w:bookmarkStart w:id="384" w:name="_Toc12523"/>
      <w:bookmarkStart w:id="385" w:name="_Toc22026"/>
      <w:bookmarkStart w:id="386" w:name="_Toc4092"/>
      <w:bookmarkStart w:id="387" w:name="_Toc4072"/>
      <w:bookmarkStart w:id="388" w:name="_Toc13759"/>
      <w:r>
        <w:rPr>
          <w:rFonts w:hint="eastAsia"/>
          <w:color w:val="auto"/>
          <w:lang w:val="en-US" w:eastAsia="zh-Hans"/>
        </w:rPr>
        <w:t>政府采购</w:t>
      </w:r>
      <w:bookmarkEnd w:id="381"/>
      <w:bookmarkEnd w:id="382"/>
      <w:bookmarkEnd w:id="383"/>
      <w:bookmarkEnd w:id="384"/>
      <w:bookmarkEnd w:id="385"/>
      <w:bookmarkEnd w:id="386"/>
      <w:bookmarkEnd w:id="387"/>
      <w:bookmarkEnd w:id="388"/>
    </w:p>
    <w:p w14:paraId="5B6A87A3">
      <w:pPr>
        <w:pStyle w:val="4"/>
        <w:pageBreakBefore w:val="0"/>
        <w:kinsoku/>
        <w:wordWrap/>
        <w:overflowPunct/>
        <w:topLinePunct w:val="0"/>
        <w:autoSpaceDE/>
        <w:autoSpaceDN/>
        <w:bidi w:val="0"/>
        <w:spacing w:line="560" w:lineRule="exact"/>
        <w:ind w:firstLine="640" w:firstLineChars="200"/>
        <w:textAlignment w:val="auto"/>
        <w:rPr>
          <w:rFonts w:hint="eastAsia"/>
          <w:color w:val="auto"/>
          <w:lang w:val="en-US" w:eastAsia="zh-CN"/>
        </w:rPr>
      </w:pPr>
      <w:r>
        <w:rPr>
          <w:rFonts w:hint="eastAsia"/>
          <w:color w:val="auto"/>
          <w:lang w:val="en-US" w:eastAsia="zh-CN"/>
        </w:rPr>
        <w:t>洋渡实验学校制定《政府采购业务控制流程》制度，形成了公平竞争、规范管理和社会监督的政府采购机制，</w:t>
      </w:r>
      <w:r>
        <w:rPr>
          <w:rFonts w:hint="eastAsia"/>
          <w:color w:val="auto"/>
          <w:highlight w:val="none"/>
          <w:lang w:val="en-US" w:eastAsia="zh-CN"/>
        </w:rPr>
        <w:t>2021年洋渡实验学校实施2个公开采购项目，采购实施程序规范，资料健全，</w:t>
      </w:r>
      <w:r>
        <w:rPr>
          <w:rFonts w:hint="eastAsia"/>
          <w:color w:val="auto"/>
          <w:lang w:val="en-US" w:eastAsia="zh-CN"/>
        </w:rPr>
        <w:t>其设立的政府采购程序规范，采购项目如下表1。</w:t>
      </w:r>
    </w:p>
    <w:p w14:paraId="4FC62521">
      <w:pPr>
        <w:pStyle w:val="4"/>
        <w:pageBreakBefore w:val="0"/>
        <w:kinsoku/>
        <w:wordWrap/>
        <w:overflowPunct/>
        <w:topLinePunct w:val="0"/>
        <w:autoSpaceDE/>
        <w:autoSpaceDN/>
        <w:bidi w:val="0"/>
        <w:spacing w:line="560" w:lineRule="exact"/>
        <w:ind w:firstLine="640" w:firstLineChars="200"/>
        <w:textAlignment w:val="auto"/>
        <w:rPr>
          <w:rFonts w:hint="eastAsia"/>
          <w:color w:val="auto"/>
          <w:lang w:val="en-US" w:eastAsia="zh-CN"/>
        </w:rPr>
      </w:pPr>
      <w:r>
        <w:rPr>
          <w:rFonts w:hint="eastAsia"/>
          <w:color w:val="auto"/>
          <w:lang w:val="en-US" w:eastAsia="zh-CN"/>
        </w:rPr>
        <w:t>表1  2021年洋渡实验学校政府采购项目明细表</w:t>
      </w:r>
    </w:p>
    <w:p w14:paraId="4468B5D9">
      <w:pPr>
        <w:pStyle w:val="4"/>
        <w:pageBreakBefore w:val="0"/>
        <w:kinsoku/>
        <w:wordWrap/>
        <w:overflowPunct/>
        <w:topLinePunct w:val="0"/>
        <w:autoSpaceDE/>
        <w:autoSpaceDN/>
        <w:bidi w:val="0"/>
        <w:spacing w:line="560" w:lineRule="exact"/>
        <w:ind w:firstLine="640" w:firstLineChars="200"/>
        <w:jc w:val="right"/>
        <w:textAlignment w:val="auto"/>
        <w:rPr>
          <w:rFonts w:hint="default"/>
          <w:color w:val="auto"/>
          <w:lang w:val="en-US" w:eastAsia="zh-CN"/>
        </w:rPr>
      </w:pPr>
      <w:r>
        <w:rPr>
          <w:rFonts w:hint="eastAsia"/>
          <w:color w:val="auto"/>
          <w:lang w:val="en-US" w:eastAsia="zh-CN"/>
        </w:rPr>
        <w:t>单位：元</w:t>
      </w:r>
    </w:p>
    <w:tbl>
      <w:tblPr>
        <w:tblStyle w:val="10"/>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250"/>
        <w:gridCol w:w="2251"/>
        <w:gridCol w:w="2251"/>
        <w:gridCol w:w="2080"/>
      </w:tblGrid>
      <w:tr w14:paraId="5FE1F2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F5BB88">
            <w:pPr>
              <w:keepNext w:val="0"/>
              <w:keepLines w:val="0"/>
              <w:pageBreakBefore w:val="0"/>
              <w:widowControl/>
              <w:suppressLineNumbers w:val="0"/>
              <w:wordWrap/>
              <w:overflowPunct/>
              <w:topLinePunct w:val="0"/>
              <w:bidi w:val="0"/>
              <w:spacing w:line="560" w:lineRule="exact"/>
              <w:jc w:val="center"/>
              <w:textAlignment w:val="center"/>
              <w:rPr>
                <w:rFonts w:hint="eastAsia" w:ascii="Times New Roman" w:hAnsi="Times New Roman" w:eastAsia="仿宋_GB2312" w:cs="Times New Roman"/>
                <w:i w:val="0"/>
                <w:iCs w:val="0"/>
                <w:color w:val="auto"/>
                <w:kern w:val="0"/>
                <w:sz w:val="32"/>
                <w:szCs w:val="28"/>
                <w:u w:val="none"/>
              </w:rPr>
            </w:pPr>
            <w:r>
              <w:rPr>
                <w:rFonts w:hint="eastAsia" w:ascii="Times New Roman" w:hAnsi="Times New Roman" w:eastAsia="仿宋_GB2312" w:cs="Times New Roman"/>
                <w:i w:val="0"/>
                <w:iCs w:val="0"/>
                <w:color w:val="auto"/>
                <w:kern w:val="0"/>
                <w:sz w:val="32"/>
                <w:szCs w:val="28"/>
                <w:u w:val="none"/>
                <w:lang w:val="en-US" w:eastAsia="zh-CN" w:bidi="ar-SA"/>
              </w:rPr>
              <w:t>项目</w:t>
            </w:r>
          </w:p>
        </w:tc>
        <w:tc>
          <w:tcPr>
            <w:tcW w:w="12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5F253E">
            <w:pPr>
              <w:keepNext w:val="0"/>
              <w:keepLines w:val="0"/>
              <w:pageBreakBefore w:val="0"/>
              <w:widowControl/>
              <w:suppressLineNumbers w:val="0"/>
              <w:wordWrap/>
              <w:overflowPunct/>
              <w:topLinePunct w:val="0"/>
              <w:bidi w:val="0"/>
              <w:spacing w:line="560" w:lineRule="exact"/>
              <w:jc w:val="center"/>
              <w:textAlignment w:val="center"/>
              <w:rPr>
                <w:rFonts w:hint="eastAsia" w:ascii="Times New Roman" w:hAnsi="Times New Roman" w:eastAsia="仿宋_GB2312" w:cs="Times New Roman"/>
                <w:i w:val="0"/>
                <w:iCs w:val="0"/>
                <w:color w:val="auto"/>
                <w:kern w:val="0"/>
                <w:sz w:val="32"/>
                <w:szCs w:val="28"/>
                <w:u w:val="none"/>
              </w:rPr>
            </w:pPr>
            <w:r>
              <w:rPr>
                <w:rFonts w:hint="eastAsia" w:ascii="Times New Roman" w:hAnsi="Times New Roman" w:eastAsia="仿宋_GB2312" w:cs="Times New Roman"/>
                <w:i w:val="0"/>
                <w:iCs w:val="0"/>
                <w:color w:val="auto"/>
                <w:kern w:val="0"/>
                <w:sz w:val="32"/>
                <w:szCs w:val="28"/>
                <w:u w:val="none"/>
                <w:lang w:val="en-US" w:eastAsia="zh-CN" w:bidi="ar-SA"/>
              </w:rPr>
              <w:t>政府采购方式</w:t>
            </w:r>
          </w:p>
        </w:tc>
        <w:tc>
          <w:tcPr>
            <w:tcW w:w="12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357DB7">
            <w:pPr>
              <w:keepNext w:val="0"/>
              <w:keepLines w:val="0"/>
              <w:pageBreakBefore w:val="0"/>
              <w:widowControl/>
              <w:suppressLineNumbers w:val="0"/>
              <w:wordWrap/>
              <w:overflowPunct/>
              <w:topLinePunct w:val="0"/>
              <w:bidi w:val="0"/>
              <w:spacing w:line="560" w:lineRule="exact"/>
              <w:jc w:val="center"/>
              <w:textAlignment w:val="center"/>
              <w:rPr>
                <w:rFonts w:hint="eastAsia" w:ascii="Times New Roman" w:hAnsi="Times New Roman" w:eastAsia="仿宋_GB2312" w:cs="Times New Roman"/>
                <w:i w:val="0"/>
                <w:iCs w:val="0"/>
                <w:color w:val="auto"/>
                <w:kern w:val="0"/>
                <w:sz w:val="32"/>
                <w:szCs w:val="28"/>
                <w:u w:val="none"/>
              </w:rPr>
            </w:pPr>
            <w:r>
              <w:rPr>
                <w:rFonts w:hint="eastAsia" w:ascii="Times New Roman" w:hAnsi="Times New Roman" w:eastAsia="仿宋_GB2312" w:cs="Times New Roman"/>
                <w:i w:val="0"/>
                <w:iCs w:val="0"/>
                <w:color w:val="auto"/>
                <w:kern w:val="0"/>
                <w:sz w:val="32"/>
                <w:szCs w:val="28"/>
                <w:u w:val="none"/>
                <w:lang w:val="en-US" w:eastAsia="zh-CN" w:bidi="ar-SA"/>
              </w:rPr>
              <w:t>中标单位</w:t>
            </w:r>
          </w:p>
        </w:tc>
        <w:tc>
          <w:tcPr>
            <w:tcW w:w="11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6455B7">
            <w:pPr>
              <w:keepNext w:val="0"/>
              <w:keepLines w:val="0"/>
              <w:pageBreakBefore w:val="0"/>
              <w:widowControl/>
              <w:suppressLineNumbers w:val="0"/>
              <w:wordWrap/>
              <w:overflowPunct/>
              <w:topLinePunct w:val="0"/>
              <w:bidi w:val="0"/>
              <w:spacing w:line="560" w:lineRule="exact"/>
              <w:jc w:val="center"/>
              <w:textAlignment w:val="center"/>
              <w:rPr>
                <w:rFonts w:hint="eastAsia" w:ascii="Times New Roman" w:hAnsi="Times New Roman" w:eastAsia="仿宋_GB2312" w:cs="Times New Roman"/>
                <w:i w:val="0"/>
                <w:iCs w:val="0"/>
                <w:color w:val="auto"/>
                <w:kern w:val="0"/>
                <w:sz w:val="32"/>
                <w:szCs w:val="28"/>
                <w:u w:val="none"/>
              </w:rPr>
            </w:pPr>
            <w:r>
              <w:rPr>
                <w:rFonts w:hint="eastAsia" w:ascii="Times New Roman" w:hAnsi="Times New Roman" w:eastAsia="仿宋_GB2312" w:cs="Times New Roman"/>
                <w:i w:val="0"/>
                <w:iCs w:val="0"/>
                <w:color w:val="auto"/>
                <w:kern w:val="0"/>
                <w:sz w:val="32"/>
                <w:szCs w:val="28"/>
                <w:u w:val="none"/>
                <w:lang w:val="en-US" w:eastAsia="zh-CN" w:bidi="ar-SA"/>
              </w:rPr>
              <w:t>中标金额</w:t>
            </w:r>
          </w:p>
        </w:tc>
      </w:tr>
      <w:tr w14:paraId="31F5DD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3F2B88">
            <w:pPr>
              <w:keepNext w:val="0"/>
              <w:keepLines w:val="0"/>
              <w:pageBreakBefore w:val="0"/>
              <w:widowControl/>
              <w:suppressLineNumbers w:val="0"/>
              <w:wordWrap/>
              <w:overflowPunct/>
              <w:topLinePunct w:val="0"/>
              <w:bidi w:val="0"/>
              <w:spacing w:line="560" w:lineRule="exact"/>
              <w:jc w:val="center"/>
              <w:textAlignment w:val="center"/>
              <w:rPr>
                <w:rFonts w:hint="eastAsia" w:ascii="Times New Roman" w:hAnsi="Times New Roman" w:eastAsia="仿宋_GB2312" w:cs="Times New Roman"/>
                <w:i w:val="0"/>
                <w:iCs w:val="0"/>
                <w:color w:val="auto"/>
                <w:kern w:val="0"/>
                <w:sz w:val="32"/>
                <w:szCs w:val="28"/>
                <w:u w:val="none"/>
              </w:rPr>
            </w:pPr>
            <w:r>
              <w:rPr>
                <w:rFonts w:hint="eastAsia" w:ascii="Times New Roman" w:hAnsi="Times New Roman" w:eastAsia="仿宋_GB2312" w:cs="Times New Roman"/>
                <w:i w:val="0"/>
                <w:iCs w:val="0"/>
                <w:color w:val="auto"/>
                <w:kern w:val="0"/>
                <w:sz w:val="32"/>
                <w:szCs w:val="28"/>
                <w:u w:val="none"/>
                <w:lang w:val="en-US" w:eastAsia="zh-CN" w:bidi="ar-SA"/>
              </w:rPr>
              <w:t>购买教学一体机</w:t>
            </w:r>
          </w:p>
        </w:tc>
        <w:tc>
          <w:tcPr>
            <w:tcW w:w="12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2E133A">
            <w:pPr>
              <w:keepNext w:val="0"/>
              <w:keepLines w:val="0"/>
              <w:pageBreakBefore w:val="0"/>
              <w:widowControl/>
              <w:suppressLineNumbers w:val="0"/>
              <w:wordWrap/>
              <w:overflowPunct/>
              <w:topLinePunct w:val="0"/>
              <w:bidi w:val="0"/>
              <w:spacing w:line="560" w:lineRule="exact"/>
              <w:jc w:val="center"/>
              <w:textAlignment w:val="center"/>
              <w:rPr>
                <w:rFonts w:hint="eastAsia" w:ascii="Times New Roman" w:hAnsi="Times New Roman" w:eastAsia="仿宋_GB2312" w:cs="Times New Roman"/>
                <w:i w:val="0"/>
                <w:iCs w:val="0"/>
                <w:color w:val="auto"/>
                <w:kern w:val="0"/>
                <w:sz w:val="32"/>
                <w:szCs w:val="28"/>
                <w:u w:val="none"/>
              </w:rPr>
            </w:pPr>
            <w:r>
              <w:rPr>
                <w:rFonts w:hint="eastAsia" w:ascii="Times New Roman" w:hAnsi="Times New Roman" w:eastAsia="仿宋_GB2312" w:cs="Times New Roman"/>
                <w:i w:val="0"/>
                <w:iCs w:val="0"/>
                <w:color w:val="auto"/>
                <w:kern w:val="0"/>
                <w:sz w:val="32"/>
                <w:szCs w:val="28"/>
                <w:u w:val="none"/>
                <w:lang w:val="en-US" w:eastAsia="zh-CN" w:bidi="ar-SA"/>
              </w:rPr>
              <w:t>竞争性磋商</w:t>
            </w:r>
          </w:p>
        </w:tc>
        <w:tc>
          <w:tcPr>
            <w:tcW w:w="12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6E2D23">
            <w:pPr>
              <w:keepNext w:val="0"/>
              <w:keepLines w:val="0"/>
              <w:pageBreakBefore w:val="0"/>
              <w:widowControl/>
              <w:suppressLineNumbers w:val="0"/>
              <w:wordWrap/>
              <w:overflowPunct/>
              <w:topLinePunct w:val="0"/>
              <w:bidi w:val="0"/>
              <w:spacing w:line="560" w:lineRule="exact"/>
              <w:jc w:val="center"/>
              <w:textAlignment w:val="center"/>
              <w:rPr>
                <w:rFonts w:hint="eastAsia" w:ascii="Times New Roman" w:hAnsi="Times New Roman" w:eastAsia="仿宋_GB2312" w:cs="Times New Roman"/>
                <w:i w:val="0"/>
                <w:iCs w:val="0"/>
                <w:color w:val="auto"/>
                <w:kern w:val="0"/>
                <w:sz w:val="32"/>
                <w:szCs w:val="28"/>
                <w:u w:val="none"/>
              </w:rPr>
            </w:pPr>
            <w:r>
              <w:rPr>
                <w:rFonts w:hint="eastAsia" w:ascii="Times New Roman" w:hAnsi="Times New Roman" w:eastAsia="仿宋_GB2312" w:cs="Times New Roman"/>
                <w:i w:val="0"/>
                <w:iCs w:val="0"/>
                <w:color w:val="auto"/>
                <w:kern w:val="0"/>
                <w:sz w:val="32"/>
                <w:szCs w:val="28"/>
                <w:u w:val="none"/>
                <w:lang w:val="en-US" w:eastAsia="zh-CN" w:bidi="ar-SA"/>
              </w:rPr>
              <w:t>遂宁中诚智领光电有限公司</w:t>
            </w:r>
          </w:p>
        </w:tc>
        <w:tc>
          <w:tcPr>
            <w:tcW w:w="11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7FC61D">
            <w:pPr>
              <w:keepNext w:val="0"/>
              <w:keepLines w:val="0"/>
              <w:pageBreakBefore w:val="0"/>
              <w:widowControl/>
              <w:suppressLineNumbers w:val="0"/>
              <w:wordWrap/>
              <w:overflowPunct/>
              <w:topLinePunct w:val="0"/>
              <w:bidi w:val="0"/>
              <w:spacing w:line="560" w:lineRule="exact"/>
              <w:jc w:val="center"/>
              <w:textAlignment w:val="center"/>
              <w:rPr>
                <w:rFonts w:hint="eastAsia" w:ascii="Times New Roman" w:hAnsi="Times New Roman" w:eastAsia="仿宋_GB2312" w:cs="Times New Roman"/>
                <w:i w:val="0"/>
                <w:iCs w:val="0"/>
                <w:color w:val="auto"/>
                <w:kern w:val="0"/>
                <w:sz w:val="32"/>
                <w:szCs w:val="28"/>
                <w:u w:val="none"/>
              </w:rPr>
            </w:pPr>
            <w:r>
              <w:rPr>
                <w:rFonts w:hint="eastAsia" w:ascii="Times New Roman" w:hAnsi="Times New Roman" w:eastAsia="仿宋_GB2312" w:cs="Times New Roman"/>
                <w:i w:val="0"/>
                <w:iCs w:val="0"/>
                <w:color w:val="auto"/>
                <w:kern w:val="0"/>
                <w:sz w:val="32"/>
                <w:szCs w:val="28"/>
                <w:u w:val="none"/>
                <w:lang w:val="en-US" w:eastAsia="zh-CN" w:bidi="ar-SA"/>
              </w:rPr>
              <w:t xml:space="preserve">460,000.00 </w:t>
            </w:r>
          </w:p>
        </w:tc>
      </w:tr>
      <w:tr w14:paraId="4F0E15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35F9B5">
            <w:pPr>
              <w:keepNext w:val="0"/>
              <w:keepLines w:val="0"/>
              <w:pageBreakBefore w:val="0"/>
              <w:widowControl/>
              <w:suppressLineNumbers w:val="0"/>
              <w:wordWrap/>
              <w:overflowPunct/>
              <w:topLinePunct w:val="0"/>
              <w:bidi w:val="0"/>
              <w:spacing w:line="560" w:lineRule="exact"/>
              <w:jc w:val="center"/>
              <w:textAlignment w:val="center"/>
              <w:rPr>
                <w:rFonts w:hint="eastAsia" w:ascii="Times New Roman" w:hAnsi="Times New Roman" w:eastAsia="仿宋_GB2312" w:cs="Times New Roman"/>
                <w:i w:val="0"/>
                <w:iCs w:val="0"/>
                <w:color w:val="auto"/>
                <w:kern w:val="0"/>
                <w:sz w:val="32"/>
                <w:szCs w:val="28"/>
                <w:u w:val="none"/>
              </w:rPr>
            </w:pPr>
            <w:r>
              <w:rPr>
                <w:rFonts w:hint="eastAsia" w:ascii="Times New Roman" w:hAnsi="Times New Roman" w:eastAsia="仿宋_GB2312" w:cs="Times New Roman"/>
                <w:i w:val="0"/>
                <w:iCs w:val="0"/>
                <w:color w:val="auto"/>
                <w:kern w:val="0"/>
                <w:sz w:val="32"/>
                <w:szCs w:val="28"/>
                <w:u w:val="none"/>
                <w:lang w:val="en-US" w:eastAsia="zh-CN" w:bidi="ar-SA"/>
              </w:rPr>
              <w:t>健康教室改造</w:t>
            </w:r>
          </w:p>
        </w:tc>
        <w:tc>
          <w:tcPr>
            <w:tcW w:w="12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9CF03B">
            <w:pPr>
              <w:keepNext w:val="0"/>
              <w:keepLines w:val="0"/>
              <w:pageBreakBefore w:val="0"/>
              <w:widowControl/>
              <w:suppressLineNumbers w:val="0"/>
              <w:wordWrap/>
              <w:overflowPunct/>
              <w:topLinePunct w:val="0"/>
              <w:bidi w:val="0"/>
              <w:spacing w:line="560" w:lineRule="exact"/>
              <w:jc w:val="center"/>
              <w:textAlignment w:val="center"/>
              <w:rPr>
                <w:rFonts w:hint="eastAsia" w:ascii="Times New Roman" w:hAnsi="Times New Roman" w:eastAsia="仿宋_GB2312" w:cs="Times New Roman"/>
                <w:i w:val="0"/>
                <w:iCs w:val="0"/>
                <w:color w:val="auto"/>
                <w:kern w:val="0"/>
                <w:sz w:val="32"/>
                <w:szCs w:val="28"/>
                <w:u w:val="none"/>
              </w:rPr>
            </w:pPr>
            <w:r>
              <w:rPr>
                <w:rFonts w:hint="eastAsia" w:ascii="Times New Roman" w:hAnsi="Times New Roman" w:eastAsia="仿宋_GB2312" w:cs="Times New Roman"/>
                <w:i w:val="0"/>
                <w:iCs w:val="0"/>
                <w:color w:val="auto"/>
                <w:kern w:val="0"/>
                <w:sz w:val="32"/>
                <w:szCs w:val="28"/>
                <w:u w:val="none"/>
                <w:lang w:val="en-US" w:eastAsia="zh-CN" w:bidi="ar-SA"/>
              </w:rPr>
              <w:t>竞争性磋商</w:t>
            </w:r>
          </w:p>
        </w:tc>
        <w:tc>
          <w:tcPr>
            <w:tcW w:w="12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E5A72F">
            <w:pPr>
              <w:keepNext w:val="0"/>
              <w:keepLines w:val="0"/>
              <w:pageBreakBefore w:val="0"/>
              <w:widowControl/>
              <w:suppressLineNumbers w:val="0"/>
              <w:wordWrap/>
              <w:overflowPunct/>
              <w:topLinePunct w:val="0"/>
              <w:bidi w:val="0"/>
              <w:spacing w:line="560" w:lineRule="exact"/>
              <w:jc w:val="center"/>
              <w:textAlignment w:val="center"/>
              <w:rPr>
                <w:rFonts w:hint="eastAsia" w:ascii="Times New Roman" w:hAnsi="Times New Roman" w:eastAsia="仿宋_GB2312" w:cs="Times New Roman"/>
                <w:i w:val="0"/>
                <w:iCs w:val="0"/>
                <w:color w:val="auto"/>
                <w:kern w:val="0"/>
                <w:sz w:val="32"/>
                <w:szCs w:val="28"/>
                <w:u w:val="none"/>
              </w:rPr>
            </w:pPr>
            <w:r>
              <w:rPr>
                <w:rFonts w:hint="eastAsia" w:ascii="Times New Roman" w:hAnsi="Times New Roman" w:eastAsia="仿宋_GB2312" w:cs="Times New Roman"/>
                <w:i w:val="0"/>
                <w:iCs w:val="0"/>
                <w:color w:val="auto"/>
                <w:kern w:val="0"/>
                <w:sz w:val="32"/>
                <w:szCs w:val="28"/>
                <w:u w:val="none"/>
                <w:lang w:val="en-US" w:eastAsia="zh-CN" w:bidi="ar-SA"/>
              </w:rPr>
              <w:t>遂宁智明宇科技有限公司</w:t>
            </w:r>
          </w:p>
        </w:tc>
        <w:tc>
          <w:tcPr>
            <w:tcW w:w="11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9A6EB7">
            <w:pPr>
              <w:keepNext w:val="0"/>
              <w:keepLines w:val="0"/>
              <w:pageBreakBefore w:val="0"/>
              <w:widowControl/>
              <w:suppressLineNumbers w:val="0"/>
              <w:wordWrap/>
              <w:overflowPunct/>
              <w:topLinePunct w:val="0"/>
              <w:bidi w:val="0"/>
              <w:spacing w:line="560" w:lineRule="exact"/>
              <w:jc w:val="center"/>
              <w:textAlignment w:val="center"/>
              <w:rPr>
                <w:rFonts w:hint="eastAsia" w:ascii="Times New Roman" w:hAnsi="Times New Roman" w:eastAsia="仿宋_GB2312" w:cs="Times New Roman"/>
                <w:i w:val="0"/>
                <w:iCs w:val="0"/>
                <w:color w:val="auto"/>
                <w:kern w:val="0"/>
                <w:sz w:val="32"/>
                <w:szCs w:val="28"/>
                <w:u w:val="none"/>
              </w:rPr>
            </w:pPr>
            <w:r>
              <w:rPr>
                <w:rFonts w:hint="eastAsia" w:ascii="Times New Roman" w:hAnsi="Times New Roman" w:eastAsia="仿宋_GB2312" w:cs="Times New Roman"/>
                <w:i w:val="0"/>
                <w:iCs w:val="0"/>
                <w:color w:val="auto"/>
                <w:kern w:val="0"/>
                <w:sz w:val="32"/>
                <w:szCs w:val="28"/>
                <w:u w:val="none"/>
                <w:lang w:val="en-US" w:eastAsia="zh-CN" w:bidi="ar-SA"/>
              </w:rPr>
              <w:t xml:space="preserve">627,840.00 </w:t>
            </w:r>
          </w:p>
        </w:tc>
      </w:tr>
    </w:tbl>
    <w:p w14:paraId="1CB769CB">
      <w:pPr>
        <w:pStyle w:val="4"/>
        <w:pageBreakBefore w:val="0"/>
        <w:kinsoku/>
        <w:wordWrap/>
        <w:overflowPunct/>
        <w:topLinePunct w:val="0"/>
        <w:autoSpaceDE/>
        <w:autoSpaceDN/>
        <w:bidi w:val="0"/>
        <w:spacing w:line="560" w:lineRule="exact"/>
        <w:ind w:firstLine="640" w:firstLineChars="200"/>
        <w:textAlignment w:val="auto"/>
        <w:rPr>
          <w:rFonts w:hint="eastAsia"/>
          <w:color w:val="auto"/>
          <w:lang w:val="en-US" w:eastAsia="zh-CN"/>
        </w:rPr>
      </w:pPr>
    </w:p>
    <w:p w14:paraId="058913CE">
      <w:pPr>
        <w:pStyle w:val="5"/>
        <w:pageBreakBefore w:val="0"/>
        <w:widowControl w:val="0"/>
        <w:kinsoku/>
        <w:wordWrap/>
        <w:overflowPunct/>
        <w:topLinePunct w:val="0"/>
        <w:autoSpaceDE/>
        <w:autoSpaceDN/>
        <w:bidi w:val="0"/>
        <w:snapToGrid/>
        <w:spacing w:line="560" w:lineRule="exact"/>
        <w:ind w:left="-10" w:leftChars="0" w:firstLine="643" w:firstLineChars="200"/>
        <w:textAlignment w:val="auto"/>
        <w:rPr>
          <w:rFonts w:hint="eastAsia"/>
          <w:color w:val="auto"/>
          <w:lang w:val="en-US" w:eastAsia="zh-CN"/>
        </w:rPr>
      </w:pPr>
      <w:bookmarkStart w:id="389" w:name="_Toc25958"/>
      <w:bookmarkStart w:id="390" w:name="_Toc18108"/>
      <w:bookmarkStart w:id="391" w:name="_Toc5837"/>
      <w:bookmarkStart w:id="392" w:name="_Toc21151"/>
      <w:bookmarkStart w:id="393" w:name="_Toc16351"/>
      <w:bookmarkStart w:id="394" w:name="_Toc9419"/>
      <w:bookmarkStart w:id="395" w:name="_Toc8558"/>
      <w:bookmarkStart w:id="396" w:name="_Toc1917"/>
      <w:r>
        <w:rPr>
          <w:rFonts w:hint="eastAsia"/>
          <w:color w:val="auto"/>
          <w:lang w:val="en-US" w:eastAsia="zh-CN"/>
        </w:rPr>
        <w:t>资产管理情况</w:t>
      </w:r>
      <w:bookmarkEnd w:id="389"/>
      <w:bookmarkEnd w:id="390"/>
      <w:bookmarkEnd w:id="391"/>
      <w:bookmarkEnd w:id="392"/>
      <w:bookmarkEnd w:id="393"/>
      <w:bookmarkEnd w:id="394"/>
      <w:bookmarkEnd w:id="395"/>
      <w:bookmarkEnd w:id="396"/>
    </w:p>
    <w:p w14:paraId="3326EDFD">
      <w:pPr>
        <w:pStyle w:val="4"/>
        <w:pageBreakBefore w:val="0"/>
        <w:kinsoku/>
        <w:wordWrap/>
        <w:overflowPunct/>
        <w:topLinePunct w:val="0"/>
        <w:autoSpaceDE/>
        <w:autoSpaceDN/>
        <w:bidi w:val="0"/>
        <w:spacing w:line="560" w:lineRule="exact"/>
        <w:ind w:firstLine="640" w:firstLineChars="200"/>
        <w:textAlignment w:val="auto"/>
        <w:rPr>
          <w:rFonts w:hint="eastAsia"/>
          <w:color w:val="auto"/>
          <w:lang w:val="en-US" w:eastAsia="zh-CN"/>
        </w:rPr>
      </w:pPr>
      <w:r>
        <w:rPr>
          <w:rFonts w:hint="eastAsia"/>
          <w:color w:val="auto"/>
          <w:lang w:val="en-US" w:eastAsia="zh-CN"/>
        </w:rPr>
        <w:t>洋渡实验学校依据《行政单位财务规则》（财政部令〔2012〕第71号）等文件的规定，结合洋渡实验学校实际情况，制定《资产业务控制建设》制度，明确固定资产按照“资产管理与预算管理相结合、资产管理与财务管理相结合、实物管理与价值管理相结合”及“统一领导、分级管理、责任到人、合理配备、规范管理”的原则实施管理，对固定资产的固定资产范围、分类、计价、配置、使用、处置等流程也有明确规定。针对固定资产在用情况，评价组对洋渡实验学校2021年购置的通用设备如教学一体机、空调、电脑等进行了抽查工作，抽查设备均处于在用状态，固定资产在用状态与实际一致。</w:t>
      </w:r>
    </w:p>
    <w:p w14:paraId="42557EDA">
      <w:pPr>
        <w:pStyle w:val="3"/>
        <w:pageBreakBefore w:val="0"/>
        <w:numPr>
          <w:ilvl w:val="0"/>
          <w:numId w:val="0"/>
        </w:numPr>
        <w:kinsoku/>
        <w:wordWrap/>
        <w:overflowPunct/>
        <w:topLinePunct w:val="0"/>
        <w:autoSpaceDE/>
        <w:autoSpaceDN/>
        <w:bidi w:val="0"/>
        <w:spacing w:line="560" w:lineRule="exact"/>
        <w:ind w:leftChars="200"/>
        <w:rPr>
          <w:rFonts w:hint="eastAsia" w:ascii="Times New Roman" w:hAnsi="Times New Roman" w:eastAsia="黑体" w:cs="Times New Roman"/>
          <w:bCs/>
          <w:color w:val="auto"/>
          <w:kern w:val="44"/>
          <w:sz w:val="32"/>
          <w:szCs w:val="44"/>
          <w:lang w:val="zh-CN" w:eastAsia="zh-CN" w:bidi="ar-SA"/>
        </w:rPr>
      </w:pPr>
      <w:bookmarkStart w:id="397" w:name="_Toc3290"/>
      <w:bookmarkStart w:id="398" w:name="_Toc19741"/>
      <w:bookmarkStart w:id="399" w:name="_Toc9706"/>
      <w:bookmarkStart w:id="400" w:name="_Toc24713"/>
      <w:bookmarkStart w:id="401" w:name="_Toc15088"/>
      <w:bookmarkStart w:id="402" w:name="_Toc6194"/>
      <w:bookmarkStart w:id="403" w:name="_Toc31965"/>
      <w:bookmarkStart w:id="404" w:name="_Toc27206"/>
      <w:r>
        <w:rPr>
          <w:rFonts w:hint="eastAsia" w:cs="Times New Roman"/>
          <w:bCs/>
          <w:color w:val="auto"/>
          <w:kern w:val="44"/>
          <w:sz w:val="32"/>
          <w:szCs w:val="44"/>
          <w:lang w:val="zh-CN" w:eastAsia="zh-CN" w:bidi="ar-SA"/>
        </w:rPr>
        <w:t>五、</w:t>
      </w:r>
      <w:r>
        <w:rPr>
          <w:rFonts w:hint="eastAsia" w:ascii="Times New Roman" w:hAnsi="Times New Roman" w:eastAsia="黑体" w:cs="Times New Roman"/>
          <w:bCs/>
          <w:color w:val="auto"/>
          <w:kern w:val="44"/>
          <w:sz w:val="32"/>
          <w:szCs w:val="44"/>
          <w:lang w:val="zh-CN" w:eastAsia="zh-CN" w:bidi="ar-SA"/>
        </w:rPr>
        <w:t>部门</w:t>
      </w:r>
      <w:r>
        <w:rPr>
          <w:rFonts w:hint="eastAsia"/>
          <w:color w:val="auto"/>
          <w:szCs w:val="44"/>
          <w:lang w:val="en-US" w:eastAsia="zh-CN"/>
        </w:rPr>
        <w:t>重点</w:t>
      </w:r>
      <w:r>
        <w:rPr>
          <w:rFonts w:hint="eastAsia" w:ascii="Times New Roman" w:hAnsi="Times New Roman" w:eastAsia="黑体" w:cs="Times New Roman"/>
          <w:bCs/>
          <w:color w:val="auto"/>
          <w:kern w:val="44"/>
          <w:sz w:val="32"/>
          <w:szCs w:val="44"/>
          <w:lang w:val="zh-CN" w:eastAsia="zh-CN" w:bidi="ar-SA"/>
        </w:rPr>
        <w:t>履职效能</w:t>
      </w:r>
      <w:bookmarkEnd w:id="397"/>
      <w:bookmarkEnd w:id="398"/>
      <w:bookmarkEnd w:id="399"/>
      <w:bookmarkEnd w:id="400"/>
      <w:bookmarkEnd w:id="401"/>
      <w:bookmarkEnd w:id="402"/>
      <w:bookmarkEnd w:id="403"/>
      <w:bookmarkEnd w:id="404"/>
    </w:p>
    <w:p w14:paraId="6236A649">
      <w:pPr>
        <w:pStyle w:val="5"/>
        <w:pageBreakBefore w:val="0"/>
        <w:widowControl w:val="0"/>
        <w:kinsoku/>
        <w:wordWrap/>
        <w:overflowPunct/>
        <w:topLinePunct w:val="0"/>
        <w:autoSpaceDE/>
        <w:autoSpaceDN/>
        <w:bidi w:val="0"/>
        <w:spacing w:line="560" w:lineRule="exact"/>
        <w:ind w:firstLine="643" w:firstLineChars="200"/>
        <w:textAlignment w:val="auto"/>
        <w:rPr>
          <w:color w:val="auto"/>
        </w:rPr>
      </w:pPr>
      <w:bookmarkStart w:id="405" w:name="_Toc19524"/>
      <w:bookmarkStart w:id="406" w:name="_Toc18053"/>
      <w:bookmarkStart w:id="407" w:name="_Toc26560"/>
      <w:bookmarkStart w:id="408" w:name="_Toc17248"/>
      <w:bookmarkStart w:id="409" w:name="_Toc8551"/>
      <w:bookmarkStart w:id="410" w:name="_Toc25169"/>
      <w:bookmarkStart w:id="411" w:name="_Toc2032"/>
      <w:bookmarkStart w:id="412" w:name="_Toc808"/>
      <w:r>
        <w:rPr>
          <w:rFonts w:hint="eastAsia"/>
          <w:color w:val="auto"/>
        </w:rPr>
        <w:t>部门履职的年度总体目标</w:t>
      </w:r>
      <w:bookmarkEnd w:id="405"/>
      <w:bookmarkEnd w:id="406"/>
      <w:bookmarkEnd w:id="407"/>
      <w:bookmarkEnd w:id="408"/>
      <w:bookmarkEnd w:id="409"/>
      <w:bookmarkEnd w:id="410"/>
      <w:bookmarkEnd w:id="411"/>
      <w:bookmarkEnd w:id="412"/>
    </w:p>
    <w:p w14:paraId="3A009CCD">
      <w:pPr>
        <w:pStyle w:val="4"/>
        <w:pageBreakBefore w:val="0"/>
        <w:widowControl w:val="0"/>
        <w:kinsoku/>
        <w:wordWrap/>
        <w:overflowPunct/>
        <w:topLinePunct w:val="0"/>
        <w:autoSpaceDE/>
        <w:autoSpaceDN/>
        <w:bidi w:val="0"/>
        <w:spacing w:line="560" w:lineRule="exact"/>
        <w:ind w:firstLine="640" w:firstLineChars="200"/>
        <w:textAlignment w:val="auto"/>
        <w:rPr>
          <w:rFonts w:hint="default"/>
          <w:color w:val="auto"/>
          <w:lang w:val="en-US" w:eastAsia="zh-CN"/>
        </w:rPr>
      </w:pPr>
      <w:r>
        <w:rPr>
          <w:rFonts w:hint="eastAsia"/>
          <w:color w:val="auto"/>
          <w:lang w:val="en-US" w:eastAsia="zh-CN"/>
        </w:rPr>
        <w:t>2021年，洋渡实验学校</w:t>
      </w:r>
      <w:r>
        <w:rPr>
          <w:rFonts w:hint="default"/>
          <w:color w:val="auto"/>
          <w:lang w:val="en-US" w:eastAsia="zh-CN"/>
        </w:rPr>
        <w:t>按照市委、市政府总体部署和全省</w:t>
      </w:r>
      <w:r>
        <w:rPr>
          <w:rFonts w:hint="eastAsia"/>
          <w:color w:val="auto"/>
          <w:lang w:val="en-US" w:eastAsia="zh-CN"/>
        </w:rPr>
        <w:t>教育教学</w:t>
      </w:r>
      <w:r>
        <w:rPr>
          <w:rFonts w:hint="default"/>
          <w:color w:val="auto"/>
          <w:lang w:val="en-US" w:eastAsia="zh-CN"/>
        </w:rPr>
        <w:t>工作要求</w:t>
      </w:r>
      <w:r>
        <w:rPr>
          <w:rFonts w:hint="eastAsia"/>
          <w:color w:val="auto"/>
          <w:lang w:val="en-US" w:eastAsia="zh-CN"/>
        </w:rPr>
        <w:t>，以办高质量学校、做高质量教育为目标，全面推进学校的课程改革、教学改革、教师专业发展和校园文化建设，在河东新区党工委、管委会的支持下，社群局的具体指导下，学校品质建设大力提升，初步实现特色化品质化办学之路。</w:t>
      </w:r>
    </w:p>
    <w:p w14:paraId="1BC9CC8A">
      <w:pPr>
        <w:pStyle w:val="5"/>
        <w:pageBreakBefore w:val="0"/>
        <w:widowControl w:val="0"/>
        <w:kinsoku/>
        <w:wordWrap/>
        <w:overflowPunct/>
        <w:topLinePunct w:val="0"/>
        <w:autoSpaceDE/>
        <w:autoSpaceDN/>
        <w:bidi w:val="0"/>
        <w:spacing w:line="560" w:lineRule="exact"/>
        <w:ind w:firstLine="643" w:firstLineChars="200"/>
        <w:textAlignment w:val="auto"/>
        <w:rPr>
          <w:color w:val="auto"/>
        </w:rPr>
      </w:pPr>
      <w:bookmarkStart w:id="413" w:name="_Toc30265"/>
      <w:bookmarkStart w:id="414" w:name="_Toc26685"/>
      <w:bookmarkStart w:id="415" w:name="_Toc3257"/>
      <w:bookmarkStart w:id="416" w:name="_Toc11873"/>
      <w:bookmarkStart w:id="417" w:name="_Toc18039"/>
      <w:bookmarkStart w:id="418" w:name="_Toc21088"/>
      <w:bookmarkStart w:id="419" w:name="_Toc5490"/>
      <w:bookmarkStart w:id="420" w:name="_Toc12991"/>
      <w:r>
        <w:rPr>
          <w:rFonts w:hint="eastAsia"/>
          <w:color w:val="auto"/>
        </w:rPr>
        <w:t>重点工作任务绩效目标完成情况</w:t>
      </w:r>
      <w:bookmarkEnd w:id="413"/>
      <w:bookmarkEnd w:id="414"/>
      <w:bookmarkEnd w:id="415"/>
      <w:bookmarkEnd w:id="416"/>
      <w:bookmarkEnd w:id="417"/>
      <w:bookmarkEnd w:id="418"/>
      <w:bookmarkEnd w:id="419"/>
      <w:bookmarkEnd w:id="420"/>
    </w:p>
    <w:p w14:paraId="494747B2">
      <w:pPr>
        <w:pStyle w:val="6"/>
        <w:pageBreakBefore w:val="0"/>
        <w:numPr>
          <w:ilvl w:val="2"/>
          <w:numId w:val="0"/>
        </w:numPr>
        <w:kinsoku/>
        <w:wordWrap/>
        <w:overflowPunct/>
        <w:topLinePunct w:val="0"/>
        <w:autoSpaceDE/>
        <w:autoSpaceDN/>
        <w:bidi w:val="0"/>
        <w:adjustRightInd/>
        <w:spacing w:line="560" w:lineRule="exact"/>
        <w:ind w:leftChars="0" w:firstLine="643" w:firstLineChars="200"/>
        <w:rPr>
          <w:rFonts w:hint="default"/>
          <w:b/>
          <w:bCs w:val="0"/>
          <w:color w:val="auto"/>
          <w:lang w:val="en-US" w:eastAsia="zh-CN"/>
        </w:rPr>
      </w:pPr>
      <w:r>
        <w:rPr>
          <w:rFonts w:hint="eastAsia"/>
          <w:b/>
          <w:bCs w:val="0"/>
          <w:color w:val="auto"/>
          <w:lang w:val="en-US" w:eastAsia="zh-CN"/>
        </w:rPr>
        <w:t>1.党建工作</w:t>
      </w:r>
    </w:p>
    <w:p w14:paraId="20503E2B">
      <w:pPr>
        <w:pStyle w:val="4"/>
        <w:pageBreakBefore w:val="0"/>
        <w:widowControl w:val="0"/>
        <w:kinsoku/>
        <w:wordWrap/>
        <w:overflowPunct/>
        <w:topLinePunct w:val="0"/>
        <w:autoSpaceDE/>
        <w:autoSpaceDN/>
        <w:bidi w:val="0"/>
        <w:spacing w:line="560" w:lineRule="exact"/>
        <w:ind w:firstLine="640" w:firstLineChars="200"/>
        <w:textAlignment w:val="auto"/>
        <w:rPr>
          <w:rFonts w:hint="default"/>
          <w:color w:val="auto"/>
          <w:lang w:val="en-US" w:eastAsia="zh-CN"/>
        </w:rPr>
      </w:pPr>
      <w:r>
        <w:rPr>
          <w:rFonts w:hint="eastAsia"/>
          <w:color w:val="auto"/>
          <w:lang w:val="en-US" w:eastAsia="zh-CN"/>
        </w:rPr>
        <w:t>洋渡实验学校2021年</w:t>
      </w:r>
      <w:r>
        <w:rPr>
          <w:rFonts w:hint="eastAsia"/>
          <w:color w:val="auto"/>
          <w:lang w:val="en-US"/>
        </w:rPr>
        <w:t>有效利用报告会、交流会、论坛讲座、线上知识竞赛、学习强国APP等多元渠道形式提高支部党员的思想觉悟，全校党员“学习强国”日常参与率高达100%</w:t>
      </w:r>
      <w:r>
        <w:rPr>
          <w:rFonts w:hint="eastAsia"/>
          <w:color w:val="auto"/>
          <w:lang w:val="en-US" w:eastAsia="zh-CN"/>
        </w:rPr>
        <w:t>；</w:t>
      </w:r>
      <w:r>
        <w:rPr>
          <w:rFonts w:hint="eastAsia" w:ascii="仿宋" w:hAnsi="仿宋" w:eastAsia="仿宋"/>
          <w:bCs/>
          <w:sz w:val="32"/>
          <w:szCs w:val="32"/>
        </w:rPr>
        <w:t>定期开展主题党日活动，先后组织学校党员干部、党员教师到旷继勋纪念馆、伍先华烈士故居等红色文化教育基地开展教育活动，进一步提升了党员教师的党性修养</w:t>
      </w:r>
      <w:r>
        <w:rPr>
          <w:rFonts w:hint="eastAsia" w:ascii="仿宋" w:hAnsi="仿宋" w:eastAsia="仿宋"/>
          <w:bCs/>
          <w:sz w:val="32"/>
          <w:szCs w:val="32"/>
          <w:lang w:eastAsia="zh-CN"/>
        </w:rPr>
        <w:t>；</w:t>
      </w:r>
      <w:r>
        <w:rPr>
          <w:rFonts w:hint="eastAsia" w:ascii="仿宋" w:hAnsi="仿宋" w:eastAsia="仿宋"/>
          <w:sz w:val="32"/>
          <w:szCs w:val="32"/>
        </w:rPr>
        <w:t>为庆祝建党100周年，开展党史党恩主题系列活动</w:t>
      </w:r>
      <w:r>
        <w:rPr>
          <w:rFonts w:hint="eastAsia" w:ascii="仿宋" w:hAnsi="仿宋" w:eastAsia="仿宋"/>
          <w:sz w:val="32"/>
          <w:szCs w:val="32"/>
          <w:lang w:eastAsia="zh-CN"/>
        </w:rPr>
        <w:t>，</w:t>
      </w:r>
      <w:r>
        <w:rPr>
          <w:rFonts w:hint="eastAsia" w:ascii="仿宋" w:hAnsi="仿宋" w:eastAsia="仿宋"/>
          <w:sz w:val="32"/>
          <w:szCs w:val="32"/>
          <w:lang w:val="en-US" w:eastAsia="zh-CN"/>
        </w:rPr>
        <w:t>同时</w:t>
      </w:r>
      <w:r>
        <w:rPr>
          <w:rFonts w:hint="eastAsia" w:ascii="仿宋" w:hAnsi="仿宋" w:eastAsia="仿宋" w:cs="仿宋"/>
          <w:sz w:val="32"/>
          <w:szCs w:val="32"/>
        </w:rPr>
        <w:t>创办了校报“浪花报”——建党1</w:t>
      </w:r>
      <w:r>
        <w:rPr>
          <w:rFonts w:ascii="仿宋" w:hAnsi="仿宋" w:eastAsia="仿宋" w:cs="仿宋"/>
          <w:sz w:val="32"/>
          <w:szCs w:val="32"/>
        </w:rPr>
        <w:t>00周年特辑专刊</w:t>
      </w:r>
      <w:r>
        <w:rPr>
          <w:rFonts w:hint="eastAsia" w:ascii="仿宋" w:hAnsi="仿宋" w:eastAsia="仿宋" w:cs="仿宋"/>
          <w:sz w:val="32"/>
          <w:szCs w:val="32"/>
        </w:rPr>
        <w:t>。</w:t>
      </w:r>
    </w:p>
    <w:p w14:paraId="38D7259B">
      <w:pPr>
        <w:pStyle w:val="6"/>
        <w:pageBreakBefore w:val="0"/>
        <w:numPr>
          <w:ilvl w:val="2"/>
          <w:numId w:val="0"/>
        </w:numPr>
        <w:kinsoku/>
        <w:wordWrap/>
        <w:overflowPunct/>
        <w:topLinePunct w:val="0"/>
        <w:autoSpaceDE/>
        <w:autoSpaceDN/>
        <w:bidi w:val="0"/>
        <w:adjustRightInd/>
        <w:spacing w:line="560" w:lineRule="exact"/>
        <w:ind w:leftChars="0" w:firstLine="643" w:firstLineChars="200"/>
        <w:rPr>
          <w:rFonts w:hint="eastAsia"/>
          <w:b/>
          <w:bCs w:val="0"/>
          <w:color w:val="auto"/>
          <w:lang w:val="en-US" w:eastAsia="zh-CN"/>
        </w:rPr>
      </w:pPr>
      <w:r>
        <w:rPr>
          <w:rFonts w:hint="eastAsia"/>
          <w:b/>
          <w:bCs w:val="0"/>
          <w:color w:val="auto"/>
          <w:lang w:val="en-US" w:eastAsia="zh-CN"/>
        </w:rPr>
        <w:t>2.德育工作</w:t>
      </w:r>
    </w:p>
    <w:p w14:paraId="3997DD63">
      <w:pPr>
        <w:pStyle w:val="4"/>
        <w:pageBreakBefore w:val="0"/>
        <w:widowControl w:val="0"/>
        <w:kinsoku/>
        <w:wordWrap/>
        <w:overflowPunct/>
        <w:topLinePunct w:val="0"/>
        <w:autoSpaceDE/>
        <w:autoSpaceDN/>
        <w:bidi w:val="0"/>
        <w:spacing w:line="560" w:lineRule="exact"/>
        <w:ind w:firstLine="640" w:firstLineChars="200"/>
        <w:textAlignment w:val="auto"/>
        <w:rPr>
          <w:rFonts w:hint="eastAsia"/>
          <w:color w:val="auto"/>
          <w:lang w:val="en-US" w:eastAsia="zh-CN"/>
        </w:rPr>
      </w:pPr>
      <w:r>
        <w:rPr>
          <w:rFonts w:hint="eastAsia"/>
          <w:color w:val="auto"/>
          <w:lang w:val="en-US" w:eastAsia="zh-CN"/>
        </w:rPr>
        <w:t>洋渡实验学校2021年从</w:t>
      </w:r>
      <w:r>
        <w:rPr>
          <w:rFonts w:hint="eastAsia" w:ascii="仿宋" w:hAnsi="仿宋" w:eastAsia="仿宋" w:cs="仿宋"/>
          <w:sz w:val="32"/>
          <w:szCs w:val="32"/>
        </w:rPr>
        <w:t>升旗仪式</w:t>
      </w:r>
      <w:r>
        <w:rPr>
          <w:rFonts w:hint="eastAsia" w:ascii="仿宋" w:hAnsi="仿宋" w:eastAsia="仿宋" w:cs="仿宋"/>
          <w:sz w:val="32"/>
          <w:szCs w:val="32"/>
          <w:lang w:eastAsia="zh-CN"/>
        </w:rPr>
        <w:t>、</w:t>
      </w:r>
      <w:r>
        <w:rPr>
          <w:rFonts w:hint="eastAsia" w:ascii="仿宋" w:hAnsi="仿宋" w:eastAsia="仿宋" w:cs="仿宋"/>
          <w:sz w:val="32"/>
          <w:szCs w:val="32"/>
        </w:rPr>
        <w:t>队日活动</w:t>
      </w:r>
      <w:r>
        <w:rPr>
          <w:rFonts w:hint="eastAsia" w:ascii="仿宋" w:hAnsi="仿宋" w:eastAsia="仿宋" w:cs="仿宋"/>
          <w:sz w:val="32"/>
          <w:szCs w:val="32"/>
          <w:lang w:eastAsia="zh-CN"/>
        </w:rPr>
        <w:t>、</w:t>
      </w:r>
      <w:r>
        <w:rPr>
          <w:rFonts w:hint="eastAsia" w:ascii="仿宋" w:hAnsi="仿宋" w:eastAsia="仿宋" w:cs="仿宋"/>
          <w:sz w:val="32"/>
          <w:szCs w:val="32"/>
        </w:rPr>
        <w:t>文明班级</w:t>
      </w:r>
      <w:r>
        <w:rPr>
          <w:rFonts w:hint="eastAsia" w:ascii="仿宋" w:hAnsi="仿宋" w:eastAsia="仿宋" w:cs="仿宋"/>
          <w:sz w:val="32"/>
          <w:szCs w:val="32"/>
          <w:lang w:val="en-US" w:eastAsia="zh-CN"/>
        </w:rPr>
        <w:t>等</w:t>
      </w:r>
      <w:r>
        <w:rPr>
          <w:rFonts w:hint="eastAsia"/>
          <w:color w:val="auto"/>
          <w:lang w:val="en-US" w:eastAsia="zh-CN"/>
        </w:rPr>
        <w:t>六个方面强化</w:t>
      </w:r>
      <w:r>
        <w:rPr>
          <w:rFonts w:hint="eastAsia" w:ascii="仿宋" w:hAnsi="仿宋" w:eastAsia="仿宋" w:cs="仿宋"/>
          <w:sz w:val="32"/>
          <w:szCs w:val="32"/>
        </w:rPr>
        <w:t>学生品德教育和行为习惯教育</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建成</w:t>
      </w:r>
      <w:r>
        <w:rPr>
          <w:rFonts w:hint="eastAsia" w:ascii="仿宋" w:hAnsi="仿宋" w:eastAsia="仿宋"/>
          <w:sz w:val="32"/>
          <w:szCs w:val="32"/>
        </w:rPr>
        <w:t>“半塘生态农场”</w:t>
      </w:r>
      <w:r>
        <w:rPr>
          <w:rFonts w:hint="eastAsia" w:ascii="仿宋" w:hAnsi="仿宋" w:eastAsia="仿宋"/>
          <w:sz w:val="32"/>
          <w:szCs w:val="32"/>
          <w:lang w:eastAsia="zh-CN"/>
        </w:rPr>
        <w:t>，</w:t>
      </w:r>
      <w:r>
        <w:rPr>
          <w:rFonts w:hint="eastAsia" w:ascii="仿宋" w:hAnsi="仿宋" w:eastAsia="仿宋"/>
          <w:sz w:val="32"/>
          <w:szCs w:val="32"/>
        </w:rPr>
        <w:t>有效开展养春蚕、种植水稻等劳动教育与实践教育相结合的活动</w:t>
      </w:r>
      <w:r>
        <w:rPr>
          <w:rFonts w:hint="eastAsia" w:ascii="仿宋" w:hAnsi="仿宋" w:eastAsia="仿宋"/>
          <w:sz w:val="32"/>
          <w:szCs w:val="32"/>
          <w:lang w:eastAsia="zh-CN"/>
        </w:rPr>
        <w:t>，</w:t>
      </w:r>
      <w:r>
        <w:rPr>
          <w:rFonts w:hint="eastAsia" w:ascii="仿宋" w:hAnsi="仿宋" w:eastAsia="仿宋"/>
          <w:sz w:val="32"/>
          <w:szCs w:val="32"/>
        </w:rPr>
        <w:t>负责班级已完成春、秋两季的种植、收获</w:t>
      </w:r>
      <w:r>
        <w:rPr>
          <w:rFonts w:hint="eastAsia" w:ascii="仿宋" w:hAnsi="仿宋" w:eastAsia="仿宋"/>
          <w:sz w:val="32"/>
          <w:szCs w:val="32"/>
          <w:lang w:eastAsia="zh-CN"/>
        </w:rPr>
        <w:t>；</w:t>
      </w:r>
      <w:r>
        <w:rPr>
          <w:rFonts w:hint="eastAsia" w:ascii="仿宋" w:hAnsi="仿宋" w:eastAsia="仿宋"/>
          <w:sz w:val="32"/>
          <w:szCs w:val="32"/>
        </w:rPr>
        <w:t>创新开展“智慧家长进课堂”活动，本期先后开展了军事训练、烘焙体验、消防知识宣讲、急救知识讲座等家长进课堂活动</w:t>
      </w:r>
      <w:r>
        <w:rPr>
          <w:rFonts w:hint="eastAsia" w:ascii="仿宋" w:hAnsi="仿宋" w:eastAsia="仿宋"/>
          <w:sz w:val="32"/>
          <w:szCs w:val="32"/>
          <w:lang w:eastAsia="zh-CN"/>
        </w:rPr>
        <w:t>，</w:t>
      </w:r>
      <w:r>
        <w:rPr>
          <w:rFonts w:hint="eastAsia" w:ascii="仿宋" w:hAnsi="仿宋" w:eastAsia="仿宋"/>
          <w:sz w:val="32"/>
          <w:szCs w:val="32"/>
        </w:rPr>
        <w:t>丰富了学生知识面，更有效地让家长参与到了学校教育中来</w:t>
      </w:r>
      <w:r>
        <w:rPr>
          <w:rFonts w:hint="eastAsia" w:ascii="仿宋" w:hAnsi="仿宋" w:eastAsia="仿宋"/>
          <w:sz w:val="32"/>
          <w:szCs w:val="32"/>
          <w:lang w:eastAsia="zh-CN"/>
        </w:rPr>
        <w:t>。</w:t>
      </w:r>
    </w:p>
    <w:p w14:paraId="170CAA2F">
      <w:pPr>
        <w:pStyle w:val="6"/>
        <w:pageBreakBefore w:val="0"/>
        <w:numPr>
          <w:ilvl w:val="2"/>
          <w:numId w:val="0"/>
        </w:numPr>
        <w:kinsoku/>
        <w:wordWrap/>
        <w:overflowPunct/>
        <w:topLinePunct w:val="0"/>
        <w:autoSpaceDE/>
        <w:autoSpaceDN/>
        <w:bidi w:val="0"/>
        <w:adjustRightInd/>
        <w:spacing w:line="560" w:lineRule="exact"/>
        <w:ind w:leftChars="0" w:firstLine="643" w:firstLineChars="200"/>
        <w:rPr>
          <w:rFonts w:hint="default"/>
          <w:b/>
          <w:bCs w:val="0"/>
          <w:color w:val="auto"/>
          <w:lang w:val="en-US" w:eastAsia="zh-CN"/>
        </w:rPr>
      </w:pPr>
      <w:r>
        <w:rPr>
          <w:rFonts w:hint="eastAsia"/>
          <w:b/>
          <w:bCs w:val="0"/>
          <w:color w:val="auto"/>
          <w:lang w:val="en-US" w:eastAsia="zh-CN"/>
        </w:rPr>
        <w:t>3.教研教学工作</w:t>
      </w:r>
    </w:p>
    <w:p w14:paraId="487CB200">
      <w:pPr>
        <w:pStyle w:val="4"/>
        <w:pageBreakBefore w:val="0"/>
        <w:widowControl w:val="0"/>
        <w:kinsoku/>
        <w:wordWrap/>
        <w:overflowPunct/>
        <w:topLinePunct w:val="0"/>
        <w:autoSpaceDE/>
        <w:autoSpaceDN/>
        <w:bidi w:val="0"/>
        <w:spacing w:line="560" w:lineRule="exact"/>
        <w:ind w:firstLine="640" w:firstLineChars="200"/>
        <w:textAlignment w:val="auto"/>
        <w:rPr>
          <w:rFonts w:hint="eastAsia" w:eastAsia="仿宋"/>
          <w:color w:val="auto"/>
          <w:lang w:val="en-US" w:eastAsia="zh-CN"/>
        </w:rPr>
      </w:pPr>
      <w:r>
        <w:rPr>
          <w:rFonts w:hint="eastAsia"/>
          <w:color w:val="auto"/>
          <w:lang w:val="en-US" w:eastAsia="zh-CN"/>
        </w:rPr>
        <w:t>洋渡实验学校顺利完成2021年教育教学活动，创新开展教育教学常规工作，形成“</w:t>
      </w:r>
      <w:r>
        <w:rPr>
          <w:rFonts w:hint="eastAsia" w:ascii="仿宋" w:hAnsi="仿宋" w:eastAsia="仿宋"/>
          <w:color w:val="000000" w:themeColor="text1"/>
          <w:sz w:val="32"/>
          <w:szCs w:val="32"/>
          <w14:textFill>
            <w14:solidFill>
              <w14:schemeClr w14:val="tx1"/>
            </w14:solidFill>
          </w14:textFill>
        </w:rPr>
        <w:t>灵润课堂</w:t>
      </w:r>
      <w:r>
        <w:rPr>
          <w:rFonts w:hint="eastAsia"/>
          <w:color w:val="auto"/>
          <w:lang w:val="en-US" w:eastAsia="zh-CN"/>
        </w:rPr>
        <w:t>”</w:t>
      </w:r>
      <w:r>
        <w:rPr>
          <w:rFonts w:hint="eastAsia" w:ascii="仿宋" w:hAnsi="仿宋" w:eastAsia="仿宋"/>
          <w:color w:val="000000" w:themeColor="text1"/>
          <w:sz w:val="32"/>
          <w:szCs w:val="32"/>
          <w14:textFill>
            <w14:solidFill>
              <w14:schemeClr w14:val="tx1"/>
            </w14:solidFill>
          </w14:textFill>
        </w:rPr>
        <w:t>教学模式</w:t>
      </w:r>
      <w:r>
        <w:rPr>
          <w:rFonts w:hint="eastAsia" w:ascii="仿宋" w:hAnsi="仿宋" w:eastAsia="仿宋"/>
          <w:color w:val="000000" w:themeColor="text1"/>
          <w:sz w:val="32"/>
          <w:szCs w:val="32"/>
          <w:lang w:eastAsia="zh-CN"/>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广泛开展体艺卫教育工作</w:t>
      </w:r>
      <w:r>
        <w:rPr>
          <w:rFonts w:hint="eastAsia" w:ascii="仿宋" w:hAnsi="仿宋" w:eastAsia="仿宋"/>
          <w:color w:val="000000" w:themeColor="text1"/>
          <w:sz w:val="32"/>
          <w:szCs w:val="32"/>
          <w:lang w:eastAsia="zh-CN"/>
          <w14:textFill>
            <w14:solidFill>
              <w14:schemeClr w14:val="tx1"/>
            </w14:solidFill>
          </w14:textFill>
        </w:rPr>
        <w:t>，</w:t>
      </w:r>
      <w:r>
        <w:rPr>
          <w:rFonts w:hint="eastAsia" w:ascii="仿宋" w:hAnsi="仿宋" w:eastAsia="仿宋"/>
          <w:color w:val="000000" w:themeColor="text1"/>
          <w:sz w:val="32"/>
          <w:szCs w:val="32"/>
          <w:lang w:val="en-US" w:eastAsia="zh-CN"/>
          <w14:textFill>
            <w14:solidFill>
              <w14:schemeClr w14:val="tx1"/>
            </w14:solidFill>
          </w14:textFill>
        </w:rPr>
        <w:t>学校</w:t>
      </w:r>
      <w:r>
        <w:rPr>
          <w:rFonts w:hint="eastAsia" w:ascii="仿宋" w:hAnsi="仿宋" w:eastAsia="仿宋"/>
          <w:color w:val="000000" w:themeColor="text1"/>
          <w:sz w:val="32"/>
          <w:szCs w:val="32"/>
          <w14:textFill>
            <w14:solidFill>
              <w14:schemeClr w14:val="tx1"/>
            </w14:solidFill>
          </w14:textFill>
        </w:rPr>
        <w:t>美术工作坊《创刻空间》在遂宁市中小学生艺术节获一等奖，大型原创舞蹈《福锦悠悠》、课本剧《小英雄雨来》在省、市中小学生艺术展演活动中收获特等奖、一等奖等荣誉</w:t>
      </w:r>
      <w:r>
        <w:rPr>
          <w:rFonts w:hint="eastAsia" w:ascii="仿宋" w:hAnsi="仿宋" w:eastAsia="仿宋"/>
          <w:color w:val="000000" w:themeColor="text1"/>
          <w:sz w:val="32"/>
          <w:szCs w:val="32"/>
          <w:lang w:eastAsia="zh-CN"/>
          <w14:textFill>
            <w14:solidFill>
              <w14:schemeClr w14:val="tx1"/>
            </w14:solidFill>
          </w14:textFill>
        </w:rPr>
        <w:t>；</w:t>
      </w:r>
      <w:r>
        <w:rPr>
          <w:rFonts w:hint="eastAsia" w:ascii="仿宋" w:hAnsi="仿宋" w:eastAsia="仿宋"/>
          <w:color w:val="000000" w:themeColor="text1"/>
          <w:sz w:val="32"/>
          <w:szCs w:val="32"/>
          <w:lang w:val="en-US" w:eastAsia="zh-CN"/>
          <w14:textFill>
            <w14:solidFill>
              <w14:schemeClr w14:val="tx1"/>
            </w14:solidFill>
          </w14:textFill>
        </w:rPr>
        <w:t>积极开展教育科研活动，</w:t>
      </w:r>
      <w:r>
        <w:rPr>
          <w:rFonts w:hint="eastAsia" w:ascii="仿宋" w:hAnsi="仿宋" w:eastAsia="仿宋"/>
          <w:color w:val="000000" w:themeColor="text1"/>
          <w:sz w:val="32"/>
          <w:szCs w:val="32"/>
          <w14:textFill>
            <w14:solidFill>
              <w14:schemeClr w14:val="tx1"/>
            </w14:solidFill>
          </w14:textFill>
        </w:rPr>
        <w:t>分学科开展专题式研讨活动，效果明显，名师工作室赴老池学校、大安逸夫小学开展送教活动，成效显著</w:t>
      </w:r>
      <w:r>
        <w:rPr>
          <w:rFonts w:hint="eastAsia" w:ascii="仿宋" w:hAnsi="仿宋" w:eastAsia="仿宋"/>
          <w:color w:val="000000" w:themeColor="text1"/>
          <w:sz w:val="32"/>
          <w:szCs w:val="32"/>
          <w:lang w:eastAsia="zh-CN"/>
          <w14:textFill>
            <w14:solidFill>
              <w14:schemeClr w14:val="tx1"/>
            </w14:solidFill>
          </w14:textFill>
        </w:rPr>
        <w:t>。</w:t>
      </w:r>
    </w:p>
    <w:p w14:paraId="2BE2983A">
      <w:pPr>
        <w:pStyle w:val="6"/>
        <w:pageBreakBefore w:val="0"/>
        <w:numPr>
          <w:ilvl w:val="2"/>
          <w:numId w:val="0"/>
        </w:numPr>
        <w:kinsoku/>
        <w:wordWrap/>
        <w:overflowPunct/>
        <w:topLinePunct w:val="0"/>
        <w:autoSpaceDE/>
        <w:autoSpaceDN/>
        <w:bidi w:val="0"/>
        <w:adjustRightInd/>
        <w:spacing w:line="560" w:lineRule="exact"/>
        <w:ind w:leftChars="0" w:firstLine="643" w:firstLineChars="200"/>
        <w:rPr>
          <w:rFonts w:hint="eastAsia"/>
          <w:b/>
          <w:bCs w:val="0"/>
          <w:color w:val="auto"/>
          <w:lang w:val="en-US" w:eastAsia="zh-CN"/>
        </w:rPr>
      </w:pPr>
      <w:r>
        <w:rPr>
          <w:rFonts w:hint="eastAsia"/>
          <w:b/>
          <w:bCs w:val="0"/>
          <w:color w:val="auto"/>
          <w:lang w:val="en-US" w:eastAsia="zh-CN"/>
        </w:rPr>
        <w:t>4.队伍建设工作</w:t>
      </w:r>
    </w:p>
    <w:p w14:paraId="02B42918">
      <w:pPr>
        <w:pStyle w:val="4"/>
        <w:pageBreakBefore w:val="0"/>
        <w:widowControl w:val="0"/>
        <w:kinsoku/>
        <w:wordWrap/>
        <w:overflowPunct/>
        <w:topLinePunct w:val="0"/>
        <w:autoSpaceDE/>
        <w:autoSpaceDN/>
        <w:bidi w:val="0"/>
        <w:spacing w:line="560" w:lineRule="exact"/>
        <w:ind w:firstLine="640" w:firstLineChars="200"/>
        <w:textAlignment w:val="auto"/>
        <w:rPr>
          <w:rFonts w:hint="eastAsia"/>
          <w:color w:val="auto"/>
          <w:lang w:val="en-US" w:eastAsia="zh-CN"/>
        </w:rPr>
      </w:pPr>
      <w:r>
        <w:rPr>
          <w:rFonts w:hint="eastAsia"/>
          <w:color w:val="auto"/>
          <w:lang w:val="en-US" w:eastAsia="zh-CN"/>
        </w:rPr>
        <w:t>洋渡实验学校开展了第三批“青蓝结对”和名师工作室活动，邓亚芳名师工作室、龚芯巧名师工作室、段晓庆名师工作室在整本书阅读、单元教学、游戏数学等教学研究领域取得突破性进展。教师外派学习百余人次，校内经验交流20余次，加快了年轻教师的专业化成长步伐。</w:t>
      </w:r>
    </w:p>
    <w:p w14:paraId="52BF0670">
      <w:pPr>
        <w:pStyle w:val="6"/>
        <w:pageBreakBefore w:val="0"/>
        <w:numPr>
          <w:ilvl w:val="2"/>
          <w:numId w:val="0"/>
        </w:numPr>
        <w:wordWrap/>
        <w:overflowPunct/>
        <w:topLinePunct w:val="0"/>
        <w:bidi w:val="0"/>
        <w:spacing w:line="560" w:lineRule="exact"/>
        <w:ind w:firstLine="643" w:firstLineChars="200"/>
        <w:rPr>
          <w:rFonts w:hint="eastAsia" w:ascii="Times New Roman" w:hAnsi="Times New Roman" w:eastAsia="仿宋_GB2312"/>
          <w:b/>
          <w:bCs w:val="0"/>
          <w:color w:val="auto"/>
          <w:sz w:val="32"/>
          <w:szCs w:val="32"/>
          <w:lang w:val="en-US"/>
        </w:rPr>
      </w:pPr>
      <w:r>
        <w:rPr>
          <w:rFonts w:hint="eastAsia" w:ascii="Times New Roman" w:hAnsi="Times New Roman" w:eastAsia="仿宋_GB2312"/>
          <w:b/>
          <w:bCs w:val="0"/>
          <w:color w:val="auto"/>
          <w:sz w:val="32"/>
          <w:szCs w:val="32"/>
          <w:lang w:val="en-US" w:eastAsia="zh-CN"/>
        </w:rPr>
        <w:t>5.</w:t>
      </w:r>
      <w:r>
        <w:rPr>
          <w:rFonts w:hint="eastAsia" w:ascii="Times New Roman" w:hAnsi="Times New Roman" w:eastAsia="仿宋_GB2312"/>
          <w:b/>
          <w:bCs w:val="0"/>
          <w:color w:val="auto"/>
          <w:sz w:val="32"/>
          <w:szCs w:val="32"/>
          <w:lang w:val="en-US"/>
        </w:rPr>
        <w:t>后勤服务工作</w:t>
      </w:r>
    </w:p>
    <w:p w14:paraId="06E518CC">
      <w:pPr>
        <w:pStyle w:val="4"/>
        <w:pageBreakBefore w:val="0"/>
        <w:widowControl w:val="0"/>
        <w:kinsoku/>
        <w:wordWrap/>
        <w:overflowPunct/>
        <w:topLinePunct w:val="0"/>
        <w:autoSpaceDE/>
        <w:autoSpaceDN/>
        <w:bidi w:val="0"/>
        <w:spacing w:line="560" w:lineRule="exact"/>
        <w:ind w:firstLine="640" w:firstLineChars="200"/>
        <w:textAlignment w:val="auto"/>
        <w:rPr>
          <w:rFonts w:hint="eastAsia"/>
          <w:color w:val="auto"/>
          <w:lang w:val="en-US" w:eastAsia="zh-CN"/>
        </w:rPr>
      </w:pPr>
      <w:r>
        <w:rPr>
          <w:rFonts w:hint="eastAsia" w:ascii="仿宋" w:hAnsi="仿宋" w:eastAsia="仿宋"/>
          <w:color w:val="000000" w:themeColor="text1"/>
          <w:sz w:val="32"/>
          <w:szCs w:val="32"/>
          <w:lang w:val="en-US" w:eastAsia="zh-CN"/>
          <w14:textFill>
            <w14:solidFill>
              <w14:schemeClr w14:val="tx1"/>
            </w14:solidFill>
          </w14:textFill>
        </w:rPr>
        <w:t>洋渡实验学校</w:t>
      </w:r>
      <w:r>
        <w:rPr>
          <w:rFonts w:hint="eastAsia" w:ascii="仿宋" w:hAnsi="仿宋" w:eastAsia="仿宋"/>
          <w:color w:val="000000" w:themeColor="text1"/>
          <w:sz w:val="32"/>
          <w:szCs w:val="32"/>
          <w14:textFill>
            <w14:solidFill>
              <w14:schemeClr w14:val="tx1"/>
            </w14:solidFill>
          </w14:textFill>
        </w:rPr>
        <w:t>2021年完成了沁园、党建阵地、功能室的文化布置，种植园改建完成，并投入使用，校园外墙围栏改造完成，同时进行了花园、果园、菜园的优化布置，确定了“校园十景”命名及内涵解读</w:t>
      </w:r>
      <w:r>
        <w:rPr>
          <w:rFonts w:hint="eastAsia" w:ascii="仿宋" w:hAnsi="仿宋" w:eastAsia="仿宋"/>
          <w:color w:val="000000" w:themeColor="text1"/>
          <w:sz w:val="32"/>
          <w:szCs w:val="32"/>
          <w:lang w:eastAsia="zh-CN"/>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学校经费管理使用合理，开源节流，用水、用电、用纸等管理规范，做到物尽其用，充分发扬了勤俭节约的优良传统</w:t>
      </w:r>
      <w:r>
        <w:rPr>
          <w:rFonts w:hint="eastAsia" w:ascii="仿宋" w:hAnsi="仿宋" w:eastAsia="仿宋"/>
          <w:color w:val="000000" w:themeColor="text1"/>
          <w:sz w:val="32"/>
          <w:szCs w:val="32"/>
          <w:lang w:eastAsia="zh-CN"/>
          <w14:textFill>
            <w14:solidFill>
              <w14:schemeClr w14:val="tx1"/>
            </w14:solidFill>
          </w14:textFill>
        </w:rPr>
        <w:t>；</w:t>
      </w:r>
      <w:r>
        <w:rPr>
          <w:rFonts w:hint="eastAsia" w:ascii="仿宋" w:hAnsi="仿宋" w:eastAsia="仿宋"/>
          <w:color w:val="000000" w:themeColor="text1"/>
          <w:sz w:val="32"/>
          <w:szCs w:val="32"/>
          <w:lang w:val="en-US" w:eastAsia="zh-CN"/>
          <w14:textFill>
            <w14:solidFill>
              <w14:schemeClr w14:val="tx1"/>
            </w14:solidFill>
          </w14:textFill>
        </w:rPr>
        <w:t>强化安全管理，</w:t>
      </w:r>
      <w:r>
        <w:rPr>
          <w:rFonts w:hint="eastAsia" w:ascii="仿宋" w:hAnsi="仿宋" w:eastAsia="仿宋"/>
          <w:color w:val="000000" w:themeColor="text1"/>
          <w:sz w:val="32"/>
          <w:szCs w:val="32"/>
          <w14:textFill>
            <w14:solidFill>
              <w14:schemeClr w14:val="tx1"/>
            </w14:solidFill>
          </w14:textFill>
        </w:rPr>
        <w:t>定期进行</w:t>
      </w:r>
      <w:r>
        <w:rPr>
          <w:rFonts w:hint="eastAsia" w:ascii="仿宋" w:hAnsi="仿宋" w:eastAsia="仿宋"/>
          <w:color w:val="000000" w:themeColor="text1"/>
          <w:sz w:val="32"/>
          <w:szCs w:val="32"/>
          <w:lang w:eastAsia="zh-CN"/>
          <w14:textFill>
            <w14:solidFill>
              <w14:schemeClr w14:val="tx1"/>
            </w14:solidFill>
          </w14:textFill>
        </w:rPr>
        <w:t>了</w:t>
      </w:r>
      <w:r>
        <w:rPr>
          <w:rFonts w:hint="eastAsia" w:ascii="仿宋" w:hAnsi="仿宋" w:eastAsia="仿宋"/>
          <w:color w:val="000000" w:themeColor="text1"/>
          <w:sz w:val="32"/>
          <w:szCs w:val="32"/>
          <w14:textFill>
            <w14:solidFill>
              <w14:schemeClr w14:val="tx1"/>
            </w14:solidFill>
          </w14:textFill>
        </w:rPr>
        <w:t>拉网式安全大排查</w:t>
      </w:r>
      <w:r>
        <w:rPr>
          <w:rFonts w:hint="eastAsia" w:ascii="仿宋" w:hAnsi="仿宋" w:eastAsia="仿宋"/>
          <w:color w:val="000000" w:themeColor="text1"/>
          <w:sz w:val="32"/>
          <w:szCs w:val="32"/>
          <w:lang w:eastAsia="zh-CN"/>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来访人员</w:t>
      </w:r>
      <w:r>
        <w:rPr>
          <w:rFonts w:hint="eastAsia" w:ascii="仿宋" w:hAnsi="仿宋" w:eastAsia="仿宋"/>
          <w:color w:val="000000" w:themeColor="text1"/>
          <w:sz w:val="32"/>
          <w:szCs w:val="32"/>
          <w:lang w:val="en-US" w:eastAsia="zh-CN"/>
          <w14:textFill>
            <w14:solidFill>
              <w14:schemeClr w14:val="tx1"/>
            </w14:solidFill>
          </w14:textFill>
        </w:rPr>
        <w:t>登记</w:t>
      </w:r>
      <w:r>
        <w:rPr>
          <w:rFonts w:hint="eastAsia" w:ascii="仿宋" w:hAnsi="仿宋" w:eastAsia="仿宋"/>
          <w:color w:val="000000" w:themeColor="text1"/>
          <w:sz w:val="32"/>
          <w:szCs w:val="32"/>
          <w14:textFill>
            <w14:solidFill>
              <w14:schemeClr w14:val="tx1"/>
            </w14:solidFill>
          </w14:textFill>
        </w:rPr>
        <w:t>管理规范</w:t>
      </w:r>
      <w:r>
        <w:rPr>
          <w:rFonts w:hint="eastAsia" w:ascii="仿宋" w:hAnsi="仿宋" w:eastAsia="仿宋"/>
          <w:color w:val="000000" w:themeColor="text1"/>
          <w:sz w:val="32"/>
          <w:szCs w:val="32"/>
          <w:lang w:eastAsia="zh-CN"/>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校园视频监测系统全覆盖</w:t>
      </w:r>
      <w:r>
        <w:rPr>
          <w:rFonts w:hint="eastAsia" w:ascii="仿宋" w:hAnsi="仿宋" w:eastAsia="仿宋"/>
          <w:color w:val="000000" w:themeColor="text1"/>
          <w:sz w:val="32"/>
          <w:szCs w:val="32"/>
          <w:lang w:eastAsia="zh-CN"/>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食堂食材采购和使用严格按照规范，加工过程全透明，监督到位，保证学生健康营养</w:t>
      </w:r>
      <w:r>
        <w:rPr>
          <w:rFonts w:hint="eastAsia" w:ascii="仿宋" w:hAnsi="仿宋" w:eastAsia="仿宋"/>
          <w:color w:val="000000" w:themeColor="text1"/>
          <w:sz w:val="32"/>
          <w:szCs w:val="32"/>
          <w:lang w:eastAsia="zh-CN"/>
          <w14:textFill>
            <w14:solidFill>
              <w14:schemeClr w14:val="tx1"/>
            </w14:solidFill>
          </w14:textFill>
        </w:rPr>
        <w:t>。</w:t>
      </w:r>
    </w:p>
    <w:p w14:paraId="1C860BFE">
      <w:pPr>
        <w:pStyle w:val="3"/>
        <w:pageBreakBefore w:val="0"/>
        <w:widowControl w:val="0"/>
        <w:numPr>
          <w:ilvl w:val="0"/>
          <w:numId w:val="0"/>
        </w:numPr>
        <w:kinsoku/>
        <w:wordWrap/>
        <w:overflowPunct/>
        <w:topLinePunct w:val="0"/>
        <w:autoSpaceDE/>
        <w:autoSpaceDN/>
        <w:bidi w:val="0"/>
        <w:spacing w:line="560" w:lineRule="exact"/>
        <w:ind w:firstLine="640" w:firstLineChars="200"/>
        <w:textAlignment w:val="auto"/>
        <w:rPr>
          <w:rFonts w:hint="default" w:eastAsia="黑体"/>
          <w:color w:val="auto"/>
          <w:lang w:val="en-US" w:eastAsia="zh-CN"/>
        </w:rPr>
      </w:pPr>
      <w:bookmarkStart w:id="421" w:name="_Toc19268"/>
      <w:bookmarkStart w:id="422" w:name="_Toc24902"/>
      <w:bookmarkStart w:id="423" w:name="_Toc19443"/>
      <w:bookmarkStart w:id="424" w:name="_Toc20952"/>
      <w:bookmarkStart w:id="425" w:name="_Toc22808"/>
      <w:bookmarkStart w:id="426" w:name="_Toc5728"/>
      <w:bookmarkStart w:id="427" w:name="_Toc1723"/>
      <w:bookmarkStart w:id="428" w:name="_Toc14968"/>
      <w:r>
        <w:rPr>
          <w:rFonts w:hint="eastAsia"/>
          <w:color w:val="auto"/>
          <w:lang w:val="en-US" w:eastAsia="zh-CN"/>
        </w:rPr>
        <w:t>六、</w:t>
      </w:r>
      <w:r>
        <w:rPr>
          <w:rFonts w:hint="eastAsia"/>
          <w:color w:val="auto"/>
        </w:rPr>
        <w:t>评价结论</w:t>
      </w:r>
      <w:r>
        <w:rPr>
          <w:rFonts w:hint="eastAsia"/>
          <w:color w:val="auto"/>
          <w:lang w:val="en-US" w:eastAsia="zh-CN"/>
        </w:rPr>
        <w:t>及绩效分析</w:t>
      </w:r>
      <w:bookmarkEnd w:id="421"/>
      <w:bookmarkEnd w:id="422"/>
      <w:bookmarkEnd w:id="423"/>
      <w:bookmarkEnd w:id="424"/>
      <w:bookmarkEnd w:id="425"/>
      <w:bookmarkEnd w:id="426"/>
      <w:bookmarkEnd w:id="427"/>
      <w:bookmarkEnd w:id="428"/>
    </w:p>
    <w:p w14:paraId="1E39415F">
      <w:pPr>
        <w:pStyle w:val="5"/>
        <w:pageBreakBefore w:val="0"/>
        <w:widowControl w:val="0"/>
        <w:numPr>
          <w:ilvl w:val="1"/>
          <w:numId w:val="0"/>
        </w:numPr>
        <w:kinsoku/>
        <w:wordWrap/>
        <w:overflowPunct/>
        <w:topLinePunct w:val="0"/>
        <w:autoSpaceDE/>
        <w:autoSpaceDN/>
        <w:bidi w:val="0"/>
        <w:spacing w:line="560" w:lineRule="exact"/>
        <w:ind w:leftChars="0" w:firstLine="643" w:firstLineChars="200"/>
        <w:textAlignment w:val="auto"/>
        <w:rPr>
          <w:rFonts w:hint="default" w:eastAsia="仿宋_GB2312"/>
          <w:color w:val="auto"/>
          <w:lang w:val="en-US" w:eastAsia="zh-CN"/>
        </w:rPr>
      </w:pPr>
      <w:bookmarkStart w:id="429" w:name="_Toc19667"/>
      <w:bookmarkStart w:id="430" w:name="_Toc24324"/>
      <w:bookmarkStart w:id="431" w:name="_Toc16656"/>
      <w:bookmarkStart w:id="432" w:name="_Toc21804"/>
      <w:bookmarkStart w:id="433" w:name="_Toc14382"/>
      <w:bookmarkStart w:id="434" w:name="_Toc16816"/>
      <w:bookmarkStart w:id="435" w:name="_Toc13986"/>
      <w:bookmarkStart w:id="436" w:name="_Toc26399"/>
      <w:r>
        <w:rPr>
          <w:rFonts w:hint="eastAsia"/>
          <w:color w:val="auto"/>
          <w:lang w:eastAsia="zh-CN"/>
        </w:rPr>
        <w:t>（</w:t>
      </w:r>
      <w:r>
        <w:rPr>
          <w:rFonts w:hint="eastAsia"/>
          <w:color w:val="auto"/>
          <w:lang w:val="en-US" w:eastAsia="zh-CN"/>
        </w:rPr>
        <w:t>一）</w:t>
      </w:r>
      <w:r>
        <w:rPr>
          <w:rFonts w:hint="eastAsia"/>
          <w:color w:val="auto"/>
        </w:rPr>
        <w:t>评价结论</w:t>
      </w:r>
      <w:bookmarkEnd w:id="429"/>
      <w:bookmarkEnd w:id="430"/>
      <w:bookmarkEnd w:id="431"/>
      <w:bookmarkEnd w:id="432"/>
      <w:bookmarkEnd w:id="433"/>
      <w:bookmarkEnd w:id="434"/>
      <w:bookmarkEnd w:id="435"/>
      <w:bookmarkEnd w:id="436"/>
    </w:p>
    <w:p w14:paraId="20B557C4">
      <w:pPr>
        <w:pStyle w:val="7"/>
        <w:pageBreakBefore w:val="0"/>
        <w:kinsoku/>
        <w:wordWrap/>
        <w:overflowPunct/>
        <w:topLinePunct w:val="0"/>
        <w:autoSpaceDE/>
        <w:autoSpaceDN/>
        <w:bidi w:val="0"/>
        <w:spacing w:line="560" w:lineRule="exact"/>
        <w:ind w:firstLine="640" w:firstLineChars="200"/>
        <w:rPr>
          <w:rFonts w:hint="eastAsia" w:ascii="Times New Roman" w:hAnsi="Times New Roman" w:eastAsia="仿宋_GB2312" w:cs="Times New Roman"/>
          <w:color w:val="auto"/>
          <w:kern w:val="0"/>
          <w:sz w:val="32"/>
          <w:szCs w:val="28"/>
          <w:lang w:val="zh-CN" w:eastAsia="zh-CN"/>
        </w:rPr>
      </w:pPr>
      <w:r>
        <w:rPr>
          <w:rFonts w:hint="eastAsia" w:ascii="Times New Roman" w:hAnsi="Times New Roman" w:eastAsia="仿宋_GB2312" w:cs="Times New Roman"/>
          <w:color w:val="auto"/>
          <w:kern w:val="0"/>
          <w:sz w:val="32"/>
          <w:szCs w:val="28"/>
          <w:lang w:val="zh-CN" w:eastAsia="zh-CN"/>
        </w:rPr>
        <w:t>20</w:t>
      </w:r>
      <w:r>
        <w:rPr>
          <w:rFonts w:hint="eastAsia" w:ascii="Times New Roman" w:hAnsi="Times New Roman" w:eastAsia="仿宋_GB2312" w:cs="Times New Roman"/>
          <w:color w:val="auto"/>
          <w:kern w:val="0"/>
          <w:sz w:val="32"/>
          <w:szCs w:val="28"/>
          <w:lang w:val="en-US" w:eastAsia="zh-CN"/>
        </w:rPr>
        <w:t>21</w:t>
      </w:r>
      <w:r>
        <w:rPr>
          <w:rFonts w:hint="eastAsia" w:ascii="Times New Roman" w:hAnsi="Times New Roman" w:eastAsia="仿宋_GB2312" w:cs="Times New Roman"/>
          <w:color w:val="auto"/>
          <w:kern w:val="0"/>
          <w:sz w:val="32"/>
          <w:szCs w:val="28"/>
          <w:lang w:val="zh-CN" w:eastAsia="zh-CN"/>
        </w:rPr>
        <w:t>年度遂宁市洋渡实验学校部门整体支出绩效评价综合</w:t>
      </w:r>
      <w:r>
        <w:rPr>
          <w:rFonts w:hint="eastAsia" w:ascii="Times New Roman" w:hAnsi="Times New Roman" w:eastAsia="仿宋_GB2312" w:cs="Times New Roman"/>
          <w:color w:val="auto"/>
          <w:kern w:val="0"/>
          <w:sz w:val="32"/>
          <w:szCs w:val="28"/>
          <w:lang w:val="en-US" w:eastAsia="zh-CN"/>
        </w:rPr>
        <w:t>得分为</w:t>
      </w:r>
      <w:r>
        <w:rPr>
          <w:rFonts w:hint="eastAsia" w:ascii="Times New Roman" w:hAnsi="Times New Roman" w:eastAsia="仿宋_GB2312" w:cs="Times New Roman"/>
          <w:color w:val="auto"/>
          <w:kern w:val="0"/>
          <w:sz w:val="32"/>
          <w:szCs w:val="28"/>
          <w:highlight w:val="none"/>
          <w:lang w:val="en-US" w:eastAsia="zh-CN"/>
        </w:rPr>
        <w:t>71.41</w:t>
      </w:r>
      <w:r>
        <w:rPr>
          <w:rFonts w:hint="eastAsia" w:ascii="Times New Roman" w:hAnsi="Times New Roman" w:eastAsia="仿宋_GB2312" w:cs="Times New Roman"/>
          <w:color w:val="auto"/>
          <w:kern w:val="0"/>
          <w:sz w:val="32"/>
          <w:szCs w:val="28"/>
          <w:lang w:val="en-US" w:eastAsia="zh-CN"/>
        </w:rPr>
        <w:t>分，</w:t>
      </w:r>
      <w:r>
        <w:rPr>
          <w:rFonts w:hint="eastAsia" w:ascii="Times New Roman" w:hAnsi="Times New Roman" w:eastAsia="仿宋_GB2312" w:cs="Times New Roman"/>
          <w:color w:val="auto"/>
          <w:kern w:val="0"/>
          <w:sz w:val="32"/>
          <w:szCs w:val="28"/>
          <w:lang w:val="zh-CN" w:eastAsia="zh-CN"/>
        </w:rPr>
        <w:t>具体评分情况见附件</w:t>
      </w:r>
      <w:r>
        <w:rPr>
          <w:rFonts w:hint="eastAsia" w:ascii="Times New Roman" w:hAnsi="Times New Roman" w:eastAsia="仿宋_GB2312" w:cs="Times New Roman"/>
          <w:color w:val="auto"/>
          <w:kern w:val="0"/>
          <w:sz w:val="32"/>
          <w:szCs w:val="28"/>
          <w:lang w:val="en-US" w:eastAsia="zh-CN"/>
        </w:rPr>
        <w:t>1，</w:t>
      </w:r>
      <w:r>
        <w:rPr>
          <w:rFonts w:hint="eastAsia" w:ascii="Times New Roman" w:hAnsi="Times New Roman" w:eastAsia="仿宋_GB2312" w:cs="Times New Roman"/>
          <w:color w:val="auto"/>
          <w:kern w:val="0"/>
          <w:sz w:val="32"/>
          <w:szCs w:val="28"/>
          <w:lang w:val="zh-CN"/>
        </w:rPr>
        <w:t>指标评分得详见下表</w:t>
      </w:r>
      <w:r>
        <w:rPr>
          <w:rFonts w:hint="eastAsia" w:ascii="Times New Roman" w:hAnsi="Times New Roman" w:eastAsia="仿宋_GB2312" w:cs="Times New Roman"/>
          <w:color w:val="auto"/>
          <w:kern w:val="0"/>
          <w:sz w:val="32"/>
          <w:szCs w:val="28"/>
          <w:lang w:val="en-US" w:eastAsia="zh-CN"/>
        </w:rPr>
        <w:t>3</w:t>
      </w:r>
      <w:r>
        <w:rPr>
          <w:rFonts w:hint="eastAsia" w:ascii="Times New Roman" w:hAnsi="Times New Roman" w:eastAsia="仿宋_GB2312" w:cs="Times New Roman"/>
          <w:color w:val="auto"/>
          <w:kern w:val="0"/>
          <w:sz w:val="32"/>
          <w:szCs w:val="28"/>
          <w:lang w:val="zh-CN" w:eastAsia="zh-CN"/>
        </w:rPr>
        <w:t>。</w:t>
      </w:r>
    </w:p>
    <w:p w14:paraId="29253EB7">
      <w:pPr>
        <w:pStyle w:val="16"/>
        <w:pageBreakBefore w:val="0"/>
        <w:kinsoku/>
        <w:wordWrap/>
        <w:overflowPunct/>
        <w:topLinePunct w:val="0"/>
        <w:autoSpaceDE/>
        <w:autoSpaceDN/>
        <w:bidi w:val="0"/>
        <w:spacing w:line="560" w:lineRule="exact"/>
        <w:ind w:firstLine="482" w:firstLineChars="200"/>
        <w:textAlignment w:val="auto"/>
        <w:rPr>
          <w:color w:val="auto"/>
        </w:rPr>
      </w:pPr>
      <w:r>
        <w:rPr>
          <w:color w:val="auto"/>
        </w:rPr>
        <w:t>表</w:t>
      </w:r>
      <w:r>
        <w:rPr>
          <w:rFonts w:hint="eastAsia"/>
          <w:color w:val="auto"/>
          <w:lang w:val="en-US" w:eastAsia="zh-CN"/>
        </w:rPr>
        <w:t>3</w:t>
      </w:r>
      <w:r>
        <w:rPr>
          <w:rFonts w:hint="eastAsia"/>
          <w:color w:val="auto"/>
        </w:rPr>
        <w:t xml:space="preserve">  </w:t>
      </w:r>
      <w:r>
        <w:rPr>
          <w:color w:val="auto"/>
        </w:rPr>
        <w:t>20</w:t>
      </w:r>
      <w:r>
        <w:rPr>
          <w:rFonts w:hint="eastAsia"/>
          <w:color w:val="auto"/>
          <w:lang w:val="en-US" w:eastAsia="zh-CN"/>
        </w:rPr>
        <w:t>21</w:t>
      </w:r>
      <w:r>
        <w:rPr>
          <w:color w:val="auto"/>
        </w:rPr>
        <w:t>年</w:t>
      </w:r>
      <w:r>
        <w:rPr>
          <w:rFonts w:hint="eastAsia"/>
          <w:color w:val="auto"/>
          <w:lang w:val="en-US" w:eastAsia="zh-CN"/>
        </w:rPr>
        <w:t>遂宁市洋渡实验学校部门</w:t>
      </w:r>
      <w:r>
        <w:rPr>
          <w:color w:val="auto"/>
        </w:rPr>
        <w:t>整体支出绩效</w:t>
      </w:r>
      <w:r>
        <w:rPr>
          <w:rFonts w:hint="eastAsia"/>
          <w:color w:val="auto"/>
          <w:lang w:eastAsia="zh-CN"/>
        </w:rPr>
        <w:t>评分得</w:t>
      </w:r>
      <w:r>
        <w:rPr>
          <w:rFonts w:hint="eastAsia"/>
          <w:color w:val="auto"/>
          <w:lang w:val="en-US" w:eastAsia="zh-CN"/>
        </w:rPr>
        <w:t>分</w:t>
      </w:r>
      <w:r>
        <w:rPr>
          <w:color w:val="auto"/>
        </w:rPr>
        <w:t>情况表</w:t>
      </w:r>
    </w:p>
    <w:tbl>
      <w:tblPr>
        <w:tblStyle w:val="10"/>
        <w:tblW w:w="4997" w:type="pct"/>
        <w:tblInd w:w="0" w:type="dxa"/>
        <w:shd w:val="clear" w:color="auto" w:fill="auto"/>
        <w:tblLayout w:type="autofit"/>
        <w:tblCellMar>
          <w:top w:w="0" w:type="dxa"/>
          <w:left w:w="108" w:type="dxa"/>
          <w:bottom w:w="0" w:type="dxa"/>
          <w:right w:w="108" w:type="dxa"/>
        </w:tblCellMar>
      </w:tblPr>
      <w:tblGrid>
        <w:gridCol w:w="1880"/>
        <w:gridCol w:w="1880"/>
        <w:gridCol w:w="1881"/>
        <w:gridCol w:w="952"/>
        <w:gridCol w:w="1119"/>
        <w:gridCol w:w="1119"/>
      </w:tblGrid>
      <w:tr w14:paraId="3EF66BB8">
        <w:tblPrEx>
          <w:shd w:val="clear" w:color="auto" w:fill="auto"/>
          <w:tblCellMar>
            <w:top w:w="0" w:type="dxa"/>
            <w:left w:w="108" w:type="dxa"/>
            <w:bottom w:w="0" w:type="dxa"/>
            <w:right w:w="108" w:type="dxa"/>
          </w:tblCellMar>
        </w:tblPrEx>
        <w:trPr>
          <w:trHeight w:val="441" w:hRule="atLeast"/>
        </w:trPr>
        <w:tc>
          <w:tcPr>
            <w:tcW w:w="56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69B1194">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绩效指标</w:t>
            </w:r>
          </w:p>
        </w:tc>
        <w:tc>
          <w:tcPr>
            <w:tcW w:w="9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58EBB1">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指标分值</w:t>
            </w:r>
          </w:p>
        </w:tc>
        <w:tc>
          <w:tcPr>
            <w:tcW w:w="1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DCADD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得分</w:t>
            </w:r>
          </w:p>
        </w:tc>
        <w:tc>
          <w:tcPr>
            <w:tcW w:w="1119" w:type="dxa"/>
            <w:vMerge w:val="restart"/>
            <w:tcBorders>
              <w:top w:val="single" w:color="000000" w:sz="4" w:space="0"/>
              <w:left w:val="single" w:color="000000" w:sz="4" w:space="0"/>
              <w:right w:val="single" w:color="000000" w:sz="4" w:space="0"/>
            </w:tcBorders>
            <w:shd w:val="clear" w:color="auto" w:fill="auto"/>
            <w:vAlign w:val="center"/>
          </w:tcPr>
          <w:p w14:paraId="1048194E">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扣分</w:t>
            </w:r>
          </w:p>
        </w:tc>
      </w:tr>
      <w:tr w14:paraId="42348F89">
        <w:tblPrEx>
          <w:tblCellMar>
            <w:top w:w="0" w:type="dxa"/>
            <w:left w:w="108" w:type="dxa"/>
            <w:bottom w:w="0" w:type="dxa"/>
            <w:right w:w="108" w:type="dxa"/>
          </w:tblCellMar>
        </w:tblPrEx>
        <w:trPr>
          <w:trHeight w:val="345" w:hRule="atLeast"/>
        </w:trPr>
        <w:tc>
          <w:tcPr>
            <w:tcW w:w="18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DA3B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一级指标</w:t>
            </w:r>
          </w:p>
        </w:tc>
        <w:tc>
          <w:tcPr>
            <w:tcW w:w="18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A16B1">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二级指标</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F8106">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三级指标</w:t>
            </w:r>
          </w:p>
        </w:tc>
        <w:tc>
          <w:tcPr>
            <w:tcW w:w="9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CFA304">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1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43D083">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1119" w:type="dxa"/>
            <w:vMerge w:val="continue"/>
            <w:tcBorders>
              <w:left w:val="single" w:color="000000" w:sz="4" w:space="0"/>
              <w:bottom w:val="single" w:color="000000" w:sz="4" w:space="0"/>
              <w:right w:val="single" w:color="000000" w:sz="4" w:space="0"/>
            </w:tcBorders>
            <w:shd w:val="clear" w:color="auto" w:fill="auto"/>
            <w:vAlign w:val="center"/>
          </w:tcPr>
          <w:p w14:paraId="5E3F639B">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r>
      <w:tr w14:paraId="3FBE80B2">
        <w:tblPrEx>
          <w:tblCellMar>
            <w:top w:w="0" w:type="dxa"/>
            <w:left w:w="108" w:type="dxa"/>
            <w:bottom w:w="0" w:type="dxa"/>
            <w:right w:w="108" w:type="dxa"/>
          </w:tblCellMar>
        </w:tblPrEx>
        <w:trPr>
          <w:trHeight w:val="507" w:hRule="atLeast"/>
        </w:trPr>
        <w:tc>
          <w:tcPr>
            <w:tcW w:w="18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BE1974">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部门预算管理</w:t>
            </w:r>
          </w:p>
        </w:tc>
        <w:tc>
          <w:tcPr>
            <w:tcW w:w="18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6F326">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预算编制</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E1F8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目标制定</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E114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5595B">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A315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37275F7F">
        <w:tblPrEx>
          <w:tblCellMar>
            <w:top w:w="0" w:type="dxa"/>
            <w:left w:w="108" w:type="dxa"/>
            <w:bottom w:w="0" w:type="dxa"/>
            <w:right w:w="108" w:type="dxa"/>
          </w:tblCellMar>
        </w:tblPrEx>
        <w:trPr>
          <w:trHeight w:val="458" w:hRule="atLeast"/>
        </w:trPr>
        <w:tc>
          <w:tcPr>
            <w:tcW w:w="1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4FAEBA">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8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5BC0E">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B606A">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目标实现</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3785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6B09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6.67</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89E60">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3.33</w:t>
            </w:r>
          </w:p>
        </w:tc>
      </w:tr>
      <w:tr w14:paraId="3144E697">
        <w:tblPrEx>
          <w:tblCellMar>
            <w:top w:w="0" w:type="dxa"/>
            <w:left w:w="108" w:type="dxa"/>
            <w:bottom w:w="0" w:type="dxa"/>
            <w:right w:w="108" w:type="dxa"/>
          </w:tblCellMar>
        </w:tblPrEx>
        <w:trPr>
          <w:trHeight w:val="466" w:hRule="atLeast"/>
        </w:trPr>
        <w:tc>
          <w:tcPr>
            <w:tcW w:w="1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C85931">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8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C8108">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C0E3A">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编制准确</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63D4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D25F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CD042">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14:paraId="082AF45F">
        <w:tblPrEx>
          <w:tblCellMar>
            <w:top w:w="0" w:type="dxa"/>
            <w:left w:w="108" w:type="dxa"/>
            <w:bottom w:w="0" w:type="dxa"/>
            <w:right w:w="108" w:type="dxa"/>
          </w:tblCellMar>
        </w:tblPrEx>
        <w:trPr>
          <w:trHeight w:val="394" w:hRule="atLeast"/>
        </w:trPr>
        <w:tc>
          <w:tcPr>
            <w:tcW w:w="1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1D1DE2">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8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C59B1">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预算执行</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02CFA">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支出控制</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E06B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2B9F6">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3914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14:paraId="133D49A4">
        <w:tblPrEx>
          <w:tblCellMar>
            <w:top w:w="0" w:type="dxa"/>
            <w:left w:w="108" w:type="dxa"/>
            <w:bottom w:w="0" w:type="dxa"/>
            <w:right w:w="108" w:type="dxa"/>
          </w:tblCellMar>
        </w:tblPrEx>
        <w:trPr>
          <w:trHeight w:val="462" w:hRule="atLeast"/>
        </w:trPr>
        <w:tc>
          <w:tcPr>
            <w:tcW w:w="1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53617A">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8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54C5A">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042E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动态调整</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D2C7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6524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39D2B">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2187DAA0">
        <w:tblPrEx>
          <w:tblCellMar>
            <w:top w:w="0" w:type="dxa"/>
            <w:left w:w="108" w:type="dxa"/>
            <w:bottom w:w="0" w:type="dxa"/>
            <w:right w:w="108" w:type="dxa"/>
          </w:tblCellMar>
        </w:tblPrEx>
        <w:trPr>
          <w:trHeight w:val="445" w:hRule="atLeast"/>
        </w:trPr>
        <w:tc>
          <w:tcPr>
            <w:tcW w:w="1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5CA939">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880" w:type="dxa"/>
            <w:tcBorders>
              <w:top w:val="single" w:color="000000" w:sz="4" w:space="0"/>
              <w:left w:val="single" w:color="000000" w:sz="4" w:space="0"/>
              <w:bottom w:val="single" w:color="auto" w:sz="4" w:space="0"/>
              <w:right w:val="single" w:color="000000" w:sz="4" w:space="0"/>
            </w:tcBorders>
            <w:shd w:val="clear" w:color="auto" w:fill="auto"/>
            <w:vAlign w:val="center"/>
          </w:tcPr>
          <w:p w14:paraId="1BD29B60">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881" w:type="dxa"/>
            <w:tcBorders>
              <w:top w:val="single" w:color="000000" w:sz="4" w:space="0"/>
              <w:left w:val="single" w:color="000000" w:sz="4" w:space="0"/>
              <w:bottom w:val="single" w:color="auto" w:sz="4" w:space="0"/>
              <w:right w:val="single" w:color="000000" w:sz="4" w:space="0"/>
            </w:tcBorders>
            <w:shd w:val="clear" w:color="auto" w:fill="auto"/>
            <w:vAlign w:val="center"/>
          </w:tcPr>
          <w:p w14:paraId="2E54DFD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执行进度</w:t>
            </w:r>
          </w:p>
        </w:tc>
        <w:tc>
          <w:tcPr>
            <w:tcW w:w="952" w:type="dxa"/>
            <w:tcBorders>
              <w:top w:val="single" w:color="000000" w:sz="4" w:space="0"/>
              <w:left w:val="single" w:color="000000" w:sz="4" w:space="0"/>
              <w:bottom w:val="single" w:color="auto" w:sz="4" w:space="0"/>
              <w:right w:val="single" w:color="000000" w:sz="4" w:space="0"/>
            </w:tcBorders>
            <w:shd w:val="clear" w:color="auto" w:fill="auto"/>
            <w:vAlign w:val="center"/>
          </w:tcPr>
          <w:p w14:paraId="2A250C55">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19" w:type="dxa"/>
            <w:tcBorders>
              <w:top w:val="single" w:color="000000" w:sz="4" w:space="0"/>
              <w:left w:val="single" w:color="000000" w:sz="4" w:space="0"/>
              <w:bottom w:val="single" w:color="auto" w:sz="4" w:space="0"/>
              <w:right w:val="single" w:color="000000" w:sz="4" w:space="0"/>
            </w:tcBorders>
            <w:shd w:val="clear" w:color="auto" w:fill="auto"/>
            <w:vAlign w:val="center"/>
          </w:tcPr>
          <w:p w14:paraId="5CEE571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9.94</w:t>
            </w:r>
          </w:p>
        </w:tc>
        <w:tc>
          <w:tcPr>
            <w:tcW w:w="1119" w:type="dxa"/>
            <w:tcBorders>
              <w:top w:val="single" w:color="000000" w:sz="4" w:space="0"/>
              <w:left w:val="single" w:color="000000" w:sz="4" w:space="0"/>
              <w:bottom w:val="single" w:color="auto" w:sz="4" w:space="0"/>
              <w:right w:val="single" w:color="000000" w:sz="4" w:space="0"/>
            </w:tcBorders>
            <w:shd w:val="clear" w:color="auto" w:fill="auto"/>
            <w:vAlign w:val="center"/>
          </w:tcPr>
          <w:p w14:paraId="57FD22C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0.06</w:t>
            </w:r>
          </w:p>
        </w:tc>
      </w:tr>
      <w:tr w14:paraId="2CBE333C">
        <w:tblPrEx>
          <w:tblCellMar>
            <w:top w:w="0" w:type="dxa"/>
            <w:left w:w="108" w:type="dxa"/>
            <w:bottom w:w="0" w:type="dxa"/>
            <w:right w:w="108" w:type="dxa"/>
          </w:tblCellMar>
        </w:tblPrEx>
        <w:trPr>
          <w:trHeight w:val="463" w:hRule="atLeast"/>
        </w:trPr>
        <w:tc>
          <w:tcPr>
            <w:tcW w:w="1880"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2A21C8D1">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880" w:type="dxa"/>
            <w:tcBorders>
              <w:top w:val="single" w:color="auto" w:sz="4" w:space="0"/>
              <w:left w:val="single" w:color="auto" w:sz="4" w:space="0"/>
              <w:bottom w:val="single" w:color="auto" w:sz="4" w:space="0"/>
              <w:right w:val="single" w:color="auto" w:sz="4" w:space="0"/>
            </w:tcBorders>
            <w:shd w:val="clear" w:color="auto" w:fill="auto"/>
            <w:vAlign w:val="center"/>
          </w:tcPr>
          <w:p w14:paraId="5B15AE1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完成结果</w:t>
            </w:r>
          </w:p>
        </w:tc>
        <w:tc>
          <w:tcPr>
            <w:tcW w:w="1881" w:type="dxa"/>
            <w:tcBorders>
              <w:top w:val="single" w:color="auto" w:sz="4" w:space="0"/>
              <w:left w:val="single" w:color="auto" w:sz="4" w:space="0"/>
              <w:bottom w:val="single" w:color="auto" w:sz="4" w:space="0"/>
              <w:right w:val="single" w:color="auto" w:sz="4" w:space="0"/>
            </w:tcBorders>
            <w:shd w:val="clear" w:color="auto" w:fill="auto"/>
            <w:vAlign w:val="center"/>
          </w:tcPr>
          <w:p w14:paraId="28E7716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预算完成</w:t>
            </w:r>
          </w:p>
        </w:tc>
        <w:tc>
          <w:tcPr>
            <w:tcW w:w="952" w:type="dxa"/>
            <w:tcBorders>
              <w:top w:val="single" w:color="auto" w:sz="4" w:space="0"/>
              <w:left w:val="single" w:color="auto" w:sz="4" w:space="0"/>
              <w:bottom w:val="single" w:color="auto" w:sz="4" w:space="0"/>
              <w:right w:val="single" w:color="auto" w:sz="4" w:space="0"/>
            </w:tcBorders>
            <w:shd w:val="clear" w:color="auto" w:fill="auto"/>
            <w:vAlign w:val="center"/>
          </w:tcPr>
          <w:p w14:paraId="38F64B4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6DC5A92E">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9.8</w:t>
            </w: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2F6D0186">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0.2</w:t>
            </w:r>
          </w:p>
        </w:tc>
      </w:tr>
      <w:tr w14:paraId="6AB49812">
        <w:tblPrEx>
          <w:tblCellMar>
            <w:top w:w="0" w:type="dxa"/>
            <w:left w:w="108" w:type="dxa"/>
            <w:bottom w:w="0" w:type="dxa"/>
            <w:right w:w="108" w:type="dxa"/>
          </w:tblCellMar>
        </w:tblPrEx>
        <w:trPr>
          <w:trHeight w:val="453" w:hRule="atLeast"/>
        </w:trPr>
        <w:tc>
          <w:tcPr>
            <w:tcW w:w="1880"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38C58B13">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880" w:type="dxa"/>
            <w:tcBorders>
              <w:top w:val="single" w:color="auto" w:sz="4" w:space="0"/>
              <w:left w:val="single" w:color="auto" w:sz="4" w:space="0"/>
              <w:bottom w:val="single" w:color="auto" w:sz="4" w:space="0"/>
              <w:right w:val="single" w:color="auto" w:sz="4" w:space="0"/>
            </w:tcBorders>
            <w:shd w:val="clear" w:color="auto" w:fill="auto"/>
            <w:vAlign w:val="center"/>
          </w:tcPr>
          <w:p w14:paraId="69D150BE">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881" w:type="dxa"/>
            <w:tcBorders>
              <w:top w:val="single" w:color="auto" w:sz="4" w:space="0"/>
              <w:left w:val="single" w:color="auto" w:sz="4" w:space="0"/>
              <w:bottom w:val="single" w:color="auto" w:sz="4" w:space="0"/>
              <w:right w:val="single" w:color="auto" w:sz="4" w:space="0"/>
            </w:tcBorders>
            <w:shd w:val="clear" w:color="auto" w:fill="auto"/>
            <w:vAlign w:val="center"/>
          </w:tcPr>
          <w:p w14:paraId="654FB306">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违规记录</w:t>
            </w:r>
          </w:p>
        </w:tc>
        <w:tc>
          <w:tcPr>
            <w:tcW w:w="952" w:type="dxa"/>
            <w:tcBorders>
              <w:top w:val="single" w:color="auto" w:sz="4" w:space="0"/>
              <w:left w:val="single" w:color="auto" w:sz="4" w:space="0"/>
              <w:bottom w:val="single" w:color="auto" w:sz="4" w:space="0"/>
              <w:right w:val="single" w:color="auto" w:sz="4" w:space="0"/>
            </w:tcBorders>
            <w:shd w:val="clear" w:color="auto" w:fill="auto"/>
            <w:vAlign w:val="center"/>
          </w:tcPr>
          <w:p w14:paraId="31122B81">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5F20F8D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7E752000">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4456FB92">
        <w:tblPrEx>
          <w:tblCellMar>
            <w:top w:w="0" w:type="dxa"/>
            <w:left w:w="108" w:type="dxa"/>
            <w:bottom w:w="0" w:type="dxa"/>
            <w:right w:w="108" w:type="dxa"/>
          </w:tblCellMar>
        </w:tblPrEx>
        <w:trPr>
          <w:trHeight w:val="444" w:hRule="atLeast"/>
        </w:trPr>
        <w:tc>
          <w:tcPr>
            <w:tcW w:w="1880" w:type="dxa"/>
            <w:vMerge w:val="restart"/>
            <w:tcBorders>
              <w:top w:val="single" w:color="000000" w:sz="4" w:space="0"/>
              <w:left w:val="single" w:color="000000" w:sz="4" w:space="0"/>
              <w:bottom w:val="single" w:color="000000" w:sz="4" w:space="0"/>
              <w:right w:val="single" w:color="auto" w:sz="4" w:space="0"/>
            </w:tcBorders>
            <w:shd w:val="clear" w:color="auto" w:fill="auto"/>
            <w:vAlign w:val="center"/>
          </w:tcPr>
          <w:p w14:paraId="4A8D31C1">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绩效结果应用</w:t>
            </w:r>
          </w:p>
        </w:tc>
        <w:tc>
          <w:tcPr>
            <w:tcW w:w="1880" w:type="dxa"/>
            <w:tcBorders>
              <w:top w:val="single" w:color="auto" w:sz="4" w:space="0"/>
              <w:left w:val="single" w:color="auto" w:sz="4" w:space="0"/>
              <w:bottom w:val="single" w:color="auto" w:sz="4" w:space="0"/>
              <w:right w:val="single" w:color="auto" w:sz="4" w:space="0"/>
            </w:tcBorders>
            <w:shd w:val="clear" w:color="auto" w:fill="auto"/>
            <w:vAlign w:val="center"/>
          </w:tcPr>
          <w:p w14:paraId="021478B0">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信息公开</w:t>
            </w:r>
          </w:p>
        </w:tc>
        <w:tc>
          <w:tcPr>
            <w:tcW w:w="1881" w:type="dxa"/>
            <w:tcBorders>
              <w:top w:val="single" w:color="auto" w:sz="4" w:space="0"/>
              <w:left w:val="single" w:color="auto" w:sz="4" w:space="0"/>
              <w:bottom w:val="single" w:color="auto" w:sz="4" w:space="0"/>
              <w:right w:val="single" w:color="auto" w:sz="4" w:space="0"/>
            </w:tcBorders>
            <w:shd w:val="clear" w:color="auto" w:fill="auto"/>
            <w:vAlign w:val="center"/>
          </w:tcPr>
          <w:p w14:paraId="58B6700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自评公开</w:t>
            </w:r>
          </w:p>
        </w:tc>
        <w:tc>
          <w:tcPr>
            <w:tcW w:w="952" w:type="dxa"/>
            <w:tcBorders>
              <w:top w:val="single" w:color="auto" w:sz="4" w:space="0"/>
              <w:left w:val="single" w:color="auto" w:sz="4" w:space="0"/>
              <w:bottom w:val="single" w:color="auto" w:sz="4" w:space="0"/>
              <w:right w:val="single" w:color="auto" w:sz="4" w:space="0"/>
            </w:tcBorders>
            <w:shd w:val="clear" w:color="auto" w:fill="auto"/>
            <w:vAlign w:val="center"/>
          </w:tcPr>
          <w:p w14:paraId="636E6D2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60CC617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2FE5335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485B26CF">
        <w:tblPrEx>
          <w:tblCellMar>
            <w:top w:w="0" w:type="dxa"/>
            <w:left w:w="108" w:type="dxa"/>
            <w:bottom w:w="0" w:type="dxa"/>
            <w:right w:w="108" w:type="dxa"/>
          </w:tblCellMar>
        </w:tblPrEx>
        <w:trPr>
          <w:trHeight w:val="451" w:hRule="atLeast"/>
        </w:trPr>
        <w:tc>
          <w:tcPr>
            <w:tcW w:w="1880"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21DE34EE">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880" w:type="dxa"/>
            <w:tcBorders>
              <w:top w:val="single" w:color="auto" w:sz="4" w:space="0"/>
              <w:left w:val="single" w:color="auto" w:sz="4" w:space="0"/>
              <w:bottom w:val="single" w:color="auto" w:sz="4" w:space="0"/>
              <w:right w:val="single" w:color="auto" w:sz="4" w:space="0"/>
            </w:tcBorders>
            <w:shd w:val="clear" w:color="auto" w:fill="auto"/>
            <w:vAlign w:val="center"/>
          </w:tcPr>
          <w:p w14:paraId="136F8FA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整改反馈</w:t>
            </w:r>
          </w:p>
        </w:tc>
        <w:tc>
          <w:tcPr>
            <w:tcW w:w="1881" w:type="dxa"/>
            <w:tcBorders>
              <w:top w:val="single" w:color="auto" w:sz="4" w:space="0"/>
              <w:left w:val="single" w:color="auto" w:sz="4" w:space="0"/>
              <w:bottom w:val="single" w:color="auto" w:sz="4" w:space="0"/>
              <w:right w:val="single" w:color="auto" w:sz="4" w:space="0"/>
            </w:tcBorders>
            <w:shd w:val="clear" w:color="auto" w:fill="auto"/>
            <w:vAlign w:val="center"/>
          </w:tcPr>
          <w:p w14:paraId="08CC641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结果整改</w:t>
            </w:r>
          </w:p>
        </w:tc>
        <w:tc>
          <w:tcPr>
            <w:tcW w:w="952" w:type="dxa"/>
            <w:tcBorders>
              <w:top w:val="single" w:color="auto" w:sz="4" w:space="0"/>
              <w:left w:val="single" w:color="auto" w:sz="4" w:space="0"/>
              <w:bottom w:val="single" w:color="auto" w:sz="4" w:space="0"/>
              <w:right w:val="single" w:color="auto" w:sz="4" w:space="0"/>
            </w:tcBorders>
            <w:shd w:val="clear" w:color="auto" w:fill="auto"/>
            <w:vAlign w:val="center"/>
          </w:tcPr>
          <w:p w14:paraId="5C44130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2653CAB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6164936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62A39565">
        <w:tblPrEx>
          <w:tblCellMar>
            <w:top w:w="0" w:type="dxa"/>
            <w:left w:w="108" w:type="dxa"/>
            <w:bottom w:w="0" w:type="dxa"/>
            <w:right w:w="108" w:type="dxa"/>
          </w:tblCellMar>
        </w:tblPrEx>
        <w:trPr>
          <w:trHeight w:val="414" w:hRule="atLeast"/>
        </w:trPr>
        <w:tc>
          <w:tcPr>
            <w:tcW w:w="1880"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48FC6B41">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880" w:type="dxa"/>
            <w:tcBorders>
              <w:top w:val="single" w:color="auto" w:sz="4" w:space="0"/>
              <w:left w:val="single" w:color="auto" w:sz="4" w:space="0"/>
              <w:bottom w:val="single" w:color="auto" w:sz="4" w:space="0"/>
              <w:right w:val="single" w:color="auto" w:sz="4" w:space="0"/>
            </w:tcBorders>
            <w:shd w:val="clear" w:color="auto" w:fill="auto"/>
            <w:vAlign w:val="center"/>
          </w:tcPr>
          <w:p w14:paraId="08FB65DD">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881" w:type="dxa"/>
            <w:tcBorders>
              <w:top w:val="single" w:color="auto" w:sz="4" w:space="0"/>
              <w:left w:val="single" w:color="auto" w:sz="4" w:space="0"/>
              <w:bottom w:val="single" w:color="auto" w:sz="4" w:space="0"/>
              <w:right w:val="single" w:color="auto" w:sz="4" w:space="0"/>
            </w:tcBorders>
            <w:shd w:val="clear" w:color="auto" w:fill="auto"/>
            <w:vAlign w:val="center"/>
          </w:tcPr>
          <w:p w14:paraId="2E93D77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应用反馈</w:t>
            </w:r>
          </w:p>
        </w:tc>
        <w:tc>
          <w:tcPr>
            <w:tcW w:w="952" w:type="dxa"/>
            <w:tcBorders>
              <w:top w:val="single" w:color="auto" w:sz="4" w:space="0"/>
              <w:left w:val="single" w:color="auto" w:sz="4" w:space="0"/>
              <w:bottom w:val="single" w:color="auto" w:sz="4" w:space="0"/>
              <w:right w:val="single" w:color="auto" w:sz="4" w:space="0"/>
            </w:tcBorders>
            <w:shd w:val="clear" w:color="auto" w:fill="auto"/>
            <w:vAlign w:val="center"/>
          </w:tcPr>
          <w:p w14:paraId="0D84855E">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0150916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5169A7F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0AF72F20">
        <w:tblPrEx>
          <w:tblCellMar>
            <w:top w:w="0" w:type="dxa"/>
            <w:left w:w="108" w:type="dxa"/>
            <w:bottom w:w="0" w:type="dxa"/>
            <w:right w:w="108" w:type="dxa"/>
          </w:tblCellMar>
        </w:tblPrEx>
        <w:trPr>
          <w:trHeight w:val="510" w:hRule="atLeast"/>
        </w:trPr>
        <w:tc>
          <w:tcPr>
            <w:tcW w:w="1880" w:type="dxa"/>
            <w:tcBorders>
              <w:top w:val="single" w:color="000000" w:sz="4" w:space="0"/>
              <w:left w:val="single" w:color="000000" w:sz="4" w:space="0"/>
              <w:bottom w:val="single" w:color="000000" w:sz="4" w:space="0"/>
              <w:right w:val="single" w:color="auto" w:sz="4" w:space="0"/>
            </w:tcBorders>
            <w:shd w:val="clear" w:color="auto" w:fill="auto"/>
            <w:vAlign w:val="center"/>
          </w:tcPr>
          <w:p w14:paraId="5C79C23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自评质量</w:t>
            </w:r>
          </w:p>
        </w:tc>
        <w:tc>
          <w:tcPr>
            <w:tcW w:w="1880" w:type="dxa"/>
            <w:tcBorders>
              <w:top w:val="single" w:color="auto" w:sz="4" w:space="0"/>
              <w:left w:val="single" w:color="auto" w:sz="4" w:space="0"/>
              <w:bottom w:val="single" w:color="auto" w:sz="4" w:space="0"/>
              <w:right w:val="single" w:color="auto" w:sz="4" w:space="0"/>
            </w:tcBorders>
            <w:shd w:val="clear" w:color="auto" w:fill="auto"/>
            <w:vAlign w:val="center"/>
          </w:tcPr>
          <w:p w14:paraId="3F29D978">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自评质量</w:t>
            </w:r>
          </w:p>
        </w:tc>
        <w:tc>
          <w:tcPr>
            <w:tcW w:w="1881" w:type="dxa"/>
            <w:tcBorders>
              <w:top w:val="single" w:color="auto" w:sz="4" w:space="0"/>
              <w:left w:val="single" w:color="auto" w:sz="4" w:space="0"/>
              <w:bottom w:val="single" w:color="auto" w:sz="4" w:space="0"/>
              <w:right w:val="single" w:color="auto" w:sz="4" w:space="0"/>
            </w:tcBorders>
            <w:shd w:val="clear" w:color="auto" w:fill="auto"/>
            <w:vAlign w:val="center"/>
          </w:tcPr>
          <w:p w14:paraId="428B598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自评准确</w:t>
            </w:r>
          </w:p>
        </w:tc>
        <w:tc>
          <w:tcPr>
            <w:tcW w:w="952" w:type="dxa"/>
            <w:tcBorders>
              <w:top w:val="single" w:color="auto" w:sz="4" w:space="0"/>
              <w:left w:val="single" w:color="auto" w:sz="4" w:space="0"/>
              <w:bottom w:val="single" w:color="auto" w:sz="4" w:space="0"/>
              <w:right w:val="single" w:color="auto" w:sz="4" w:space="0"/>
            </w:tcBorders>
            <w:shd w:val="clear" w:color="auto" w:fill="auto"/>
            <w:vAlign w:val="center"/>
          </w:tcPr>
          <w:p w14:paraId="4E840A0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079AD718">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6F6DCBFA">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14:paraId="090B6879">
        <w:tblPrEx>
          <w:tblCellMar>
            <w:top w:w="0" w:type="dxa"/>
            <w:left w:w="108" w:type="dxa"/>
            <w:bottom w:w="0" w:type="dxa"/>
            <w:right w:w="108" w:type="dxa"/>
          </w:tblCellMar>
        </w:tblPrEx>
        <w:trPr>
          <w:trHeight w:val="510" w:hRule="atLeast"/>
        </w:trPr>
        <w:tc>
          <w:tcPr>
            <w:tcW w:w="564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D9AAA87">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合计</w:t>
            </w:r>
          </w:p>
        </w:tc>
        <w:tc>
          <w:tcPr>
            <w:tcW w:w="952" w:type="dxa"/>
            <w:tcBorders>
              <w:top w:val="single" w:color="auto" w:sz="4" w:space="0"/>
              <w:left w:val="single" w:color="auto" w:sz="4" w:space="0"/>
              <w:bottom w:val="single" w:color="auto" w:sz="4" w:space="0"/>
              <w:right w:val="single" w:color="auto" w:sz="4" w:space="0"/>
            </w:tcBorders>
            <w:shd w:val="clear" w:color="auto" w:fill="auto"/>
            <w:vAlign w:val="center"/>
          </w:tcPr>
          <w:p w14:paraId="20EF8609">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100</w:t>
            </w: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5F8A7BEB">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71.41</w:t>
            </w: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747630E8">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28.59</w:t>
            </w:r>
          </w:p>
        </w:tc>
      </w:tr>
    </w:tbl>
    <w:p w14:paraId="1150F5F9">
      <w:pPr>
        <w:pStyle w:val="5"/>
        <w:pageBreakBefore w:val="0"/>
        <w:numPr>
          <w:ilvl w:val="1"/>
          <w:numId w:val="0"/>
        </w:numPr>
        <w:kinsoku/>
        <w:wordWrap/>
        <w:overflowPunct/>
        <w:topLinePunct w:val="0"/>
        <w:autoSpaceDE/>
        <w:autoSpaceDN/>
        <w:bidi w:val="0"/>
        <w:spacing w:line="560" w:lineRule="exact"/>
        <w:ind w:leftChars="0" w:firstLine="643" w:firstLineChars="200"/>
        <w:rPr>
          <w:rFonts w:hint="eastAsia"/>
          <w:b/>
          <w:bCs/>
          <w:color w:val="auto"/>
          <w:szCs w:val="32"/>
          <w:highlight w:val="yellow"/>
          <w:lang w:val="en-US" w:eastAsia="zh-CN"/>
        </w:rPr>
      </w:pPr>
      <w:bookmarkStart w:id="437" w:name="_Toc19812"/>
      <w:bookmarkStart w:id="438" w:name="_Toc466"/>
      <w:bookmarkStart w:id="439" w:name="_Toc22537"/>
      <w:bookmarkStart w:id="440" w:name="_Toc9476"/>
      <w:bookmarkStart w:id="441" w:name="_Toc11205"/>
      <w:bookmarkStart w:id="442" w:name="_Toc1315"/>
      <w:bookmarkStart w:id="443" w:name="_Toc27581"/>
      <w:bookmarkStart w:id="444" w:name="_Toc15097"/>
      <w:r>
        <w:rPr>
          <w:rFonts w:hint="eastAsia"/>
          <w:b/>
          <w:bCs/>
          <w:color w:val="auto"/>
          <w:szCs w:val="32"/>
          <w:highlight w:val="none"/>
          <w:lang w:val="en-US" w:eastAsia="zh-CN"/>
        </w:rPr>
        <w:t>（二）基本运行绩效分析</w:t>
      </w:r>
      <w:bookmarkEnd w:id="437"/>
      <w:bookmarkEnd w:id="438"/>
      <w:bookmarkEnd w:id="439"/>
      <w:bookmarkEnd w:id="440"/>
      <w:bookmarkEnd w:id="441"/>
      <w:bookmarkEnd w:id="442"/>
      <w:bookmarkEnd w:id="443"/>
      <w:bookmarkEnd w:id="444"/>
    </w:p>
    <w:p w14:paraId="4AF18FCE">
      <w:pPr>
        <w:pStyle w:val="4"/>
        <w:pageBreakBefore w:val="0"/>
        <w:widowControl w:val="0"/>
        <w:numPr>
          <w:ilvl w:val="-1"/>
          <w:numId w:val="0"/>
        </w:numPr>
        <w:kinsoku/>
        <w:wordWrap/>
        <w:overflowPunct/>
        <w:topLinePunct w:val="0"/>
        <w:autoSpaceDE/>
        <w:autoSpaceDN/>
        <w:bidi w:val="0"/>
        <w:spacing w:line="560" w:lineRule="exact"/>
        <w:ind w:left="0" w:leftChars="0" w:firstLine="643" w:firstLineChars="200"/>
        <w:textAlignment w:val="auto"/>
        <w:outlineLvl w:val="2"/>
        <w:rPr>
          <w:rFonts w:hint="eastAsia"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1.部门预算编制</w:t>
      </w:r>
    </w:p>
    <w:p w14:paraId="10C7C62A">
      <w:pPr>
        <w:pStyle w:val="4"/>
        <w:pageBreakBefore w:val="0"/>
        <w:widowControl w:val="0"/>
        <w:numPr>
          <w:ilvl w:val="-1"/>
          <w:numId w:val="0"/>
        </w:numPr>
        <w:kinsoku/>
        <w:wordWrap/>
        <w:overflowPunct/>
        <w:topLinePunct w:val="0"/>
        <w:autoSpaceDE/>
        <w:autoSpaceDN/>
        <w:bidi w:val="0"/>
        <w:spacing w:line="560" w:lineRule="exact"/>
        <w:ind w:left="0" w:leftChars="0" w:firstLine="643" w:firstLineChars="200"/>
        <w:textAlignment w:val="auto"/>
        <w:outlineLvl w:val="2"/>
        <w:rPr>
          <w:rFonts w:hint="default"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（1）预算编制</w:t>
      </w:r>
    </w:p>
    <w:p w14:paraId="00477EA0">
      <w:pPr>
        <w:pStyle w:val="4"/>
        <w:pageBreakBefore w:val="0"/>
        <w:widowControl w:val="0"/>
        <w:numPr>
          <w:ilvl w:val="0"/>
          <w:numId w:val="0"/>
        </w:numPr>
        <w:kinsoku/>
        <w:wordWrap/>
        <w:overflowPunct/>
        <w:topLinePunct w:val="0"/>
        <w:autoSpaceDE/>
        <w:autoSpaceDN/>
        <w:bidi w:val="0"/>
        <w:spacing w:line="560" w:lineRule="exact"/>
        <w:ind w:firstLine="643" w:firstLineChars="200"/>
        <w:textAlignment w:val="auto"/>
        <w:outlineLvl w:val="9"/>
        <w:rPr>
          <w:rFonts w:hint="default"/>
          <w:color w:val="auto"/>
          <w:lang w:val="en-US" w:eastAsia="zh-CN"/>
        </w:rPr>
      </w:pPr>
      <w:r>
        <w:rPr>
          <w:rFonts w:hint="eastAsia"/>
          <w:b/>
          <w:bCs/>
          <w:color w:val="auto"/>
          <w:szCs w:val="32"/>
          <w:lang w:val="en-US" w:eastAsia="zh-CN"/>
        </w:rPr>
        <w:t>①目标制定</w:t>
      </w:r>
    </w:p>
    <w:p w14:paraId="0EAA7FB2">
      <w:pPr>
        <w:pStyle w:val="4"/>
        <w:pageBreakBefore w:val="0"/>
        <w:wordWrap/>
        <w:overflowPunct/>
        <w:topLinePunct w:val="0"/>
        <w:bidi w:val="0"/>
        <w:spacing w:line="560" w:lineRule="exact"/>
        <w:rPr>
          <w:rFonts w:hint="eastAsia"/>
          <w:color w:val="000000" w:themeColor="text1"/>
          <w:highlight w:val="none"/>
          <w:lang w:val="en-US"/>
          <w14:textFill>
            <w14:solidFill>
              <w14:schemeClr w14:val="tx1"/>
            </w14:solidFill>
          </w14:textFill>
        </w:rPr>
      </w:pPr>
      <w:r>
        <w:rPr>
          <w:rFonts w:hint="eastAsia"/>
          <w:highlight w:val="none"/>
          <w:lang w:val="en-US" w:eastAsia="zh-CN"/>
        </w:rPr>
        <w:t>洋渡实验学校</w:t>
      </w:r>
      <w:r>
        <w:rPr>
          <w:rFonts w:hint="eastAsia"/>
          <w:highlight w:val="none"/>
        </w:rPr>
        <w:t>整体绩效目标年度主要任务包括</w:t>
      </w:r>
      <w:r>
        <w:rPr>
          <w:rFonts w:hint="eastAsia"/>
          <w:color w:val="000000" w:themeColor="text1"/>
          <w:highlight w:val="none"/>
          <w:lang w:val="en-US" w:eastAsia="zh-CN"/>
          <w14:textFill>
            <w14:solidFill>
              <w14:schemeClr w14:val="tx1"/>
            </w14:solidFill>
          </w14:textFill>
        </w:rPr>
        <w:t>学校基本支出</w:t>
      </w:r>
      <w:r>
        <w:rPr>
          <w:rFonts w:hint="eastAsia"/>
          <w:color w:val="000000" w:themeColor="text1"/>
          <w:highlight w:val="none"/>
          <w14:textFill>
            <w14:solidFill>
              <w14:schemeClr w14:val="tx1"/>
            </w14:solidFill>
          </w14:textFill>
        </w:rPr>
        <w:t>、购买教学互动一体机（纳米智慧黑板）</w:t>
      </w:r>
      <w:r>
        <w:rPr>
          <w:rFonts w:hint="eastAsia"/>
          <w:color w:val="000000" w:themeColor="text1"/>
          <w:highlight w:val="none"/>
          <w:lang w:eastAsia="zh-CN"/>
          <w14:textFill>
            <w14:solidFill>
              <w14:schemeClr w14:val="tx1"/>
            </w14:solidFill>
          </w14:textFill>
        </w:rPr>
        <w:t>、健康教室改造</w:t>
      </w:r>
      <w:r>
        <w:rPr>
          <w:rFonts w:hint="eastAsia"/>
          <w:color w:val="000000" w:themeColor="text1"/>
          <w:highlight w:val="none"/>
          <w:lang w:val="en-US" w:eastAsia="zh-CN"/>
          <w14:textFill>
            <w14:solidFill>
              <w14:schemeClr w14:val="tx1"/>
            </w14:solidFill>
          </w14:textFill>
        </w:rPr>
        <w:t>及</w:t>
      </w:r>
      <w:r>
        <w:rPr>
          <w:rFonts w:hint="eastAsia"/>
          <w:color w:val="000000" w:themeColor="text1"/>
          <w:highlight w:val="none"/>
          <w14:textFill>
            <w14:solidFill>
              <w14:schemeClr w14:val="tx1"/>
            </w14:solidFill>
          </w14:textFill>
        </w:rPr>
        <w:t>购买学生课桌椅</w:t>
      </w:r>
      <w:r>
        <w:rPr>
          <w:rFonts w:hint="eastAsia"/>
          <w:color w:val="000000" w:themeColor="text1"/>
          <w:highlight w:val="none"/>
          <w:lang w:val="en-US" w:eastAsia="zh-CN"/>
          <w14:textFill>
            <w14:solidFill>
              <w14:schemeClr w14:val="tx1"/>
            </w14:solidFill>
          </w14:textFill>
        </w:rPr>
        <w:t>4</w:t>
      </w:r>
      <w:r>
        <w:rPr>
          <w:rFonts w:hint="eastAsia"/>
          <w:highlight w:val="none"/>
          <w:lang w:val="en-US"/>
        </w:rPr>
        <w:t>项</w:t>
      </w:r>
      <w:r>
        <w:rPr>
          <w:rFonts w:hint="eastAsia"/>
          <w:highlight w:val="none"/>
        </w:rPr>
        <w:t>主要任务</w:t>
      </w:r>
      <w:r>
        <w:rPr>
          <w:rFonts w:hint="eastAsia"/>
          <w:highlight w:val="none"/>
          <w:lang w:eastAsia="zh-CN"/>
        </w:rPr>
        <w:t>，</w:t>
      </w:r>
      <w:r>
        <w:rPr>
          <w:rFonts w:hint="eastAsia"/>
          <w:highlight w:val="none"/>
          <w:lang w:val="en-US" w:eastAsia="zh-CN"/>
        </w:rPr>
        <w:t>整体</w:t>
      </w:r>
      <w:r>
        <w:rPr>
          <w:rFonts w:hint="eastAsia"/>
          <w:color w:val="000000" w:themeColor="text1"/>
          <w:highlight w:val="none"/>
          <w:lang w:val="en-US"/>
          <w14:textFill>
            <w14:solidFill>
              <w14:schemeClr w14:val="tx1"/>
            </w14:solidFill>
          </w14:textFill>
        </w:rPr>
        <w:t>绩效目标编制含数量、质量、成本、时效、效益、满意度等指标，要素完整，指标设置符合规范要求。</w:t>
      </w:r>
    </w:p>
    <w:p w14:paraId="3CF15EE7">
      <w:pPr>
        <w:pStyle w:val="4"/>
        <w:pageBreakBefore w:val="0"/>
        <w:wordWrap/>
        <w:overflowPunct/>
        <w:topLinePunct w:val="0"/>
        <w:bidi w:val="0"/>
        <w:spacing w:line="560" w:lineRule="exact"/>
        <w:rPr>
          <w:rFonts w:hint="eastAsia"/>
          <w:color w:val="000000" w:themeColor="text1"/>
          <w:highlight w:val="none"/>
          <w:lang w:val="en-US"/>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综合上述分析，此项指标分值10分，实际得分10分。</w:t>
      </w:r>
    </w:p>
    <w:p w14:paraId="3AE4CB15">
      <w:pPr>
        <w:pStyle w:val="4"/>
        <w:pageBreakBefore w:val="0"/>
        <w:widowControl w:val="0"/>
        <w:numPr>
          <w:ilvl w:val="0"/>
          <w:numId w:val="0"/>
        </w:numPr>
        <w:kinsoku/>
        <w:wordWrap/>
        <w:overflowPunct/>
        <w:topLinePunct w:val="0"/>
        <w:autoSpaceDE/>
        <w:autoSpaceDN/>
        <w:bidi w:val="0"/>
        <w:spacing w:line="560" w:lineRule="exact"/>
        <w:ind w:firstLine="643" w:firstLineChars="200"/>
        <w:textAlignment w:val="auto"/>
        <w:outlineLvl w:val="9"/>
        <w:rPr>
          <w:rFonts w:hint="default"/>
          <w:color w:val="auto"/>
          <w:lang w:val="en-US" w:eastAsia="zh-CN"/>
        </w:rPr>
      </w:pPr>
      <w:r>
        <w:rPr>
          <w:rFonts w:hint="eastAsia"/>
          <w:b/>
          <w:bCs/>
          <w:color w:val="auto"/>
          <w:szCs w:val="32"/>
          <w:lang w:val="en-US" w:eastAsia="zh-CN"/>
        </w:rPr>
        <w:t>②目标实现</w:t>
      </w:r>
    </w:p>
    <w:p w14:paraId="25320AA4">
      <w:pPr>
        <w:pStyle w:val="4"/>
        <w:pageBreakBefore w:val="0"/>
        <w:wordWrap/>
        <w:overflowPunct/>
        <w:topLinePunct w:val="0"/>
        <w:bidi w:val="0"/>
        <w:spacing w:line="560" w:lineRule="exact"/>
        <w:rPr>
          <w:rFonts w:hint="eastAsia"/>
          <w:color w:val="000000" w:themeColor="text1"/>
          <w:highlight w:val="none"/>
          <w:lang w:val="en-US"/>
          <w14:textFill>
            <w14:solidFill>
              <w14:schemeClr w14:val="tx1"/>
            </w14:solidFill>
          </w14:textFill>
        </w:rPr>
      </w:pPr>
      <w:r>
        <w:rPr>
          <w:rFonts w:hint="eastAsia"/>
          <w:color w:val="000000" w:themeColor="text1"/>
          <w:highlight w:val="none"/>
          <w:lang w:val="en-US"/>
          <w14:textFill>
            <w14:solidFill>
              <w14:schemeClr w14:val="tx1"/>
            </w14:solidFill>
          </w14:textFill>
        </w:rPr>
        <w:t>评价组核查了</w:t>
      </w:r>
      <w:r>
        <w:rPr>
          <w:rFonts w:hint="eastAsia"/>
          <w:color w:val="000000" w:themeColor="text1"/>
          <w:highlight w:val="none"/>
          <w:lang w:val="en-US" w:eastAsia="zh-CN"/>
          <w14:textFill>
            <w14:solidFill>
              <w14:schemeClr w14:val="tx1"/>
            </w14:solidFill>
          </w14:textFill>
        </w:rPr>
        <w:t>洋渡实验学校3</w:t>
      </w:r>
      <w:r>
        <w:rPr>
          <w:rFonts w:hint="eastAsia"/>
          <w:color w:val="000000" w:themeColor="text1"/>
          <w:highlight w:val="none"/>
          <w:lang w:val="en-US"/>
          <w14:textFill>
            <w14:solidFill>
              <w14:schemeClr w14:val="tx1"/>
            </w14:solidFill>
          </w14:textFill>
        </w:rPr>
        <w:t>个项目共</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lang w:val="en-US"/>
          <w14:textFill>
            <w14:solidFill>
              <w14:schemeClr w14:val="tx1"/>
            </w14:solidFill>
          </w14:textFill>
        </w:rPr>
        <w:t>个数量指标的完成情况，其中</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lang w:val="en-US"/>
          <w14:textFill>
            <w14:solidFill>
              <w14:schemeClr w14:val="tx1"/>
            </w14:solidFill>
          </w14:textFill>
        </w:rPr>
        <w:t>个数量指标实际完成情况</w:t>
      </w:r>
      <w:r>
        <w:rPr>
          <w:rFonts w:hint="eastAsia"/>
          <w:color w:val="000000" w:themeColor="text1"/>
          <w:highlight w:val="none"/>
          <w:lang w:val="en-US" w:eastAsia="zh-CN"/>
          <w14:textFill>
            <w14:solidFill>
              <w14:schemeClr w14:val="tx1"/>
            </w14:solidFill>
          </w14:textFill>
        </w:rPr>
        <w:t>达到</w:t>
      </w:r>
      <w:r>
        <w:rPr>
          <w:rFonts w:hint="eastAsia"/>
          <w:color w:val="000000" w:themeColor="text1"/>
          <w:highlight w:val="none"/>
          <w:lang w:val="en-US"/>
          <w14:textFill>
            <w14:solidFill>
              <w14:schemeClr w14:val="tx1"/>
            </w14:solidFill>
          </w14:textFill>
        </w:rPr>
        <w:t>预期绩效目标。“购买学生课桌椅”</w:t>
      </w:r>
      <w:r>
        <w:rPr>
          <w:rFonts w:hint="eastAsia"/>
          <w:color w:val="000000" w:themeColor="text1"/>
          <w:highlight w:val="none"/>
          <w:lang w:val="en-US" w:eastAsia="zh-CN"/>
          <w14:textFill>
            <w14:solidFill>
              <w14:schemeClr w14:val="tx1"/>
            </w14:solidFill>
          </w14:textFill>
        </w:rPr>
        <w:t>项目绩效目标购买1000套学生课桌椅</w:t>
      </w:r>
      <w:r>
        <w:rPr>
          <w:rFonts w:hint="eastAsia"/>
          <w:color w:val="000000" w:themeColor="text1"/>
          <w:highlight w:val="none"/>
          <w:lang w:val="en-US"/>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2021</w:t>
      </w:r>
      <w:r>
        <w:rPr>
          <w:rFonts w:hint="eastAsia"/>
          <w:color w:val="000000" w:themeColor="text1"/>
          <w:highlight w:val="none"/>
          <w:lang w:val="en-US"/>
          <w14:textFill>
            <w14:solidFill>
              <w14:schemeClr w14:val="tx1"/>
            </w14:solidFill>
          </w14:textFill>
        </w:rPr>
        <w:t>年实际</w:t>
      </w:r>
      <w:r>
        <w:rPr>
          <w:rFonts w:hint="eastAsia"/>
          <w:color w:val="000000" w:themeColor="text1"/>
          <w:highlight w:val="none"/>
          <w:lang w:val="en-US" w:eastAsia="zh-CN"/>
          <w14:textFill>
            <w14:solidFill>
              <w14:schemeClr w14:val="tx1"/>
            </w14:solidFill>
          </w14:textFill>
        </w:rPr>
        <w:t>购买660套</w:t>
      </w:r>
      <w:r>
        <w:rPr>
          <w:rFonts w:hint="eastAsia"/>
          <w:color w:val="000000" w:themeColor="text1"/>
          <w:highlight w:val="none"/>
          <w:lang w:val="en-US"/>
          <w14:textFill>
            <w14:solidFill>
              <w14:schemeClr w14:val="tx1"/>
            </w14:solidFill>
          </w14:textFill>
        </w:rPr>
        <w:t>，未达到预期指标，项目实际完成情况与预期绩效目标偏离度</w:t>
      </w:r>
      <w:r>
        <w:rPr>
          <w:rFonts w:hint="eastAsia"/>
          <w:color w:val="000000" w:themeColor="text1"/>
          <w:highlight w:val="none"/>
          <w:lang w:val="en-US" w:eastAsia="zh-CN"/>
          <w14:textFill>
            <w14:solidFill>
              <w14:schemeClr w14:val="tx1"/>
            </w14:solidFill>
          </w14:textFill>
        </w:rPr>
        <w:t>为34%</w:t>
      </w:r>
      <w:r>
        <w:rPr>
          <w:rFonts w:hint="eastAsia"/>
          <w:color w:val="000000" w:themeColor="text1"/>
          <w:highlight w:val="none"/>
          <w:lang w:val="en-US"/>
          <w14:textFill>
            <w14:solidFill>
              <w14:schemeClr w14:val="tx1"/>
            </w14:solidFill>
          </w14:textFill>
        </w:rPr>
        <w:t>。</w:t>
      </w:r>
    </w:p>
    <w:p w14:paraId="51A024EC">
      <w:pPr>
        <w:pStyle w:val="4"/>
        <w:pageBreakBefore w:val="0"/>
        <w:tabs>
          <w:tab w:val="left" w:pos="545"/>
        </w:tabs>
        <w:wordWrap/>
        <w:overflowPunct/>
        <w:topLinePunct w:val="0"/>
        <w:bidi w:val="0"/>
        <w:spacing w:line="560" w:lineRule="exact"/>
        <w:rPr>
          <w:rFonts w:hint="default" w:eastAsia="仿宋_GB2312"/>
          <w:color w:val="000000" w:themeColor="text1"/>
          <w:highlight w:val="yellow"/>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根据评分公式，指标得分=10分*2/3=6.67分</w:t>
      </w:r>
    </w:p>
    <w:p w14:paraId="72E5C88E">
      <w:pPr>
        <w:pStyle w:val="4"/>
        <w:pageBreakBefore w:val="0"/>
        <w:wordWrap/>
        <w:overflowPunct/>
        <w:topLinePunct w:val="0"/>
        <w:bidi w:val="0"/>
        <w:spacing w:line="560" w:lineRule="exact"/>
        <w:rPr>
          <w:rFonts w:hint="eastAsia"/>
          <w:color w:val="000000" w:themeColor="text1"/>
          <w:highlight w:val="yellow"/>
          <w:lang w:val="en-US"/>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综合上述分析，此项指标分值10分，实际得分6.67分，扣分3.33分。</w:t>
      </w:r>
    </w:p>
    <w:p w14:paraId="49C95BCF">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b/>
          <w:bCs/>
          <w:color w:val="auto"/>
          <w:szCs w:val="32"/>
          <w:lang w:val="en-US" w:eastAsia="zh-CN"/>
        </w:rPr>
      </w:pPr>
      <w:r>
        <w:rPr>
          <w:rFonts w:hint="eastAsia"/>
          <w:b/>
          <w:bCs/>
          <w:color w:val="auto"/>
          <w:szCs w:val="32"/>
          <w:lang w:val="en-US" w:eastAsia="zh-CN"/>
        </w:rPr>
        <w:t>③编制准确</w:t>
      </w:r>
    </w:p>
    <w:p w14:paraId="22BFEB28">
      <w:pPr>
        <w:pStyle w:val="4"/>
        <w:pageBreakBefore w:val="0"/>
        <w:wordWrap/>
        <w:overflowPunct/>
        <w:topLinePunct w:val="0"/>
        <w:bidi w:val="0"/>
        <w:spacing w:line="560" w:lineRule="exact"/>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14:textFill>
            <w14:solidFill>
              <w14:schemeClr w14:val="tx1"/>
            </w14:solidFill>
          </w14:textFill>
        </w:rPr>
        <w:t>根据</w:t>
      </w:r>
      <w:r>
        <w:rPr>
          <w:rFonts w:hint="eastAsia"/>
          <w:color w:val="000000" w:themeColor="text1"/>
          <w:highlight w:val="none"/>
          <w:lang w:val="en-US" w:eastAsia="zh-CN"/>
          <w14:textFill>
            <w14:solidFill>
              <w14:schemeClr w14:val="tx1"/>
            </w14:solidFill>
          </w14:textFill>
        </w:rPr>
        <w:t>洋渡实验学校</w:t>
      </w:r>
      <w:r>
        <w:rPr>
          <w:rFonts w:hint="eastAsia"/>
          <w:color w:val="000000" w:themeColor="text1"/>
          <w:highlight w:val="none"/>
          <w:lang w:val="en-US"/>
          <w14:textFill>
            <w14:solidFill>
              <w14:schemeClr w14:val="tx1"/>
            </w14:solidFill>
          </w14:textFill>
        </w:rPr>
        <w:t>202</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lang w:val="en-US"/>
          <w14:textFill>
            <w14:solidFill>
              <w14:schemeClr w14:val="tx1"/>
            </w14:solidFill>
          </w14:textFill>
        </w:rPr>
        <w:t>年预算、决算表</w:t>
      </w:r>
      <w:r>
        <w:rPr>
          <w:rFonts w:hint="eastAsia"/>
          <w:color w:val="000000" w:themeColor="text1"/>
          <w:highlight w:val="none"/>
          <w:lang w:val="en-US" w:eastAsia="zh-CN"/>
          <w14:textFill>
            <w14:solidFill>
              <w14:schemeClr w14:val="tx1"/>
            </w14:solidFill>
          </w14:textFill>
        </w:rPr>
        <w:t>及结算表</w:t>
      </w:r>
      <w:r>
        <w:rPr>
          <w:rFonts w:hint="eastAsia"/>
          <w:color w:val="000000" w:themeColor="text1"/>
          <w:highlight w:val="none"/>
          <w:lang w:val="en-US"/>
          <w14:textFill>
            <w14:solidFill>
              <w14:schemeClr w14:val="tx1"/>
            </w14:solidFill>
          </w14:textFill>
        </w:rPr>
        <w:t>，单位202</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lang w:val="en-US"/>
          <w14:textFill>
            <w14:solidFill>
              <w14:schemeClr w14:val="tx1"/>
            </w14:solidFill>
          </w14:textFill>
        </w:rPr>
        <w:t>年预算数为1</w:t>
      </w:r>
      <w:r>
        <w:rPr>
          <w:rFonts w:hint="eastAsia"/>
          <w:color w:val="000000" w:themeColor="text1"/>
          <w:highlight w:val="none"/>
          <w:lang w:val="en-US" w:eastAsia="zh-CN"/>
          <w14:textFill>
            <w14:solidFill>
              <w14:schemeClr w14:val="tx1"/>
            </w14:solidFill>
          </w14:textFill>
        </w:rPr>
        <w:t>,</w:t>
      </w:r>
      <w:r>
        <w:rPr>
          <w:rFonts w:hint="eastAsia"/>
          <w:color w:val="000000" w:themeColor="text1"/>
          <w:highlight w:val="none"/>
          <w:lang w:val="en-US"/>
          <w14:textFill>
            <w14:solidFill>
              <w14:schemeClr w14:val="tx1"/>
            </w14:solidFill>
          </w14:textFill>
        </w:rPr>
        <w:t>522</w:t>
      </w:r>
      <w:r>
        <w:rPr>
          <w:rFonts w:hint="eastAsia"/>
          <w:color w:val="000000" w:themeColor="text1"/>
          <w:highlight w:val="none"/>
          <w:lang w:val="en-US" w:eastAsia="zh-CN"/>
          <w14:textFill>
            <w14:solidFill>
              <w14:schemeClr w14:val="tx1"/>
            </w14:solidFill>
          </w14:textFill>
        </w:rPr>
        <w:t>.</w:t>
      </w:r>
      <w:r>
        <w:rPr>
          <w:rFonts w:hint="eastAsia"/>
          <w:color w:val="000000" w:themeColor="text1"/>
          <w:highlight w:val="none"/>
          <w:lang w:val="en-US"/>
          <w14:textFill>
            <w14:solidFill>
              <w14:schemeClr w14:val="tx1"/>
            </w14:solidFill>
          </w14:textFill>
        </w:rPr>
        <w:t>13万元，</w:t>
      </w:r>
      <w:r>
        <w:rPr>
          <w:rFonts w:hint="eastAsia"/>
          <w:color w:val="000000" w:themeColor="text1"/>
          <w:highlight w:val="none"/>
          <w:lang w:val="en-US" w:eastAsia="zh-CN"/>
          <w14:textFill>
            <w14:solidFill>
              <w14:schemeClr w14:val="tx1"/>
            </w14:solidFill>
          </w14:textFill>
        </w:rPr>
        <w:t>调整预算为1,726.24万元，</w:t>
      </w:r>
      <w:r>
        <w:rPr>
          <w:rFonts w:hint="eastAsia"/>
          <w:color w:val="000000" w:themeColor="text1"/>
          <w:highlight w:val="none"/>
          <w:lang w:val="en-US"/>
          <w14:textFill>
            <w14:solidFill>
              <w14:schemeClr w14:val="tx1"/>
            </w14:solidFill>
          </w14:textFill>
        </w:rPr>
        <w:t>支出决算数为</w:t>
      </w:r>
      <w:r>
        <w:rPr>
          <w:rFonts w:hint="eastAsia"/>
          <w:color w:val="000000" w:themeColor="text1"/>
          <w:highlight w:val="none"/>
          <w:lang w:val="en-US" w:eastAsia="zh-CN"/>
          <w14:textFill>
            <w14:solidFill>
              <w14:schemeClr w14:val="tx1"/>
            </w14:solidFill>
          </w14:textFill>
        </w:rPr>
        <w:t>1,691.23</w:t>
      </w:r>
      <w:r>
        <w:rPr>
          <w:rFonts w:hint="eastAsia"/>
          <w:color w:val="000000" w:themeColor="text1"/>
          <w:highlight w:val="none"/>
          <w:lang w:val="en-US"/>
          <w14:textFill>
            <w14:solidFill>
              <w14:schemeClr w14:val="tx1"/>
            </w14:solidFill>
          </w14:textFill>
        </w:rPr>
        <w:t>万元</w:t>
      </w:r>
      <w:r>
        <w:rPr>
          <w:rFonts w:hint="eastAsia"/>
          <w:color w:val="000000" w:themeColor="text1"/>
          <w:highlight w:val="none"/>
          <w:lang w:val="en-US" w:eastAsia="zh-CN"/>
          <w14:textFill>
            <w14:solidFill>
              <w14:schemeClr w14:val="tx1"/>
            </w14:solidFill>
          </w14:textFill>
        </w:rPr>
        <w:t>。</w:t>
      </w:r>
    </w:p>
    <w:p w14:paraId="4CB8F704">
      <w:pPr>
        <w:pStyle w:val="4"/>
        <w:pageBreakBefore w:val="0"/>
        <w:wordWrap/>
        <w:overflowPunct/>
        <w:topLinePunct w:val="0"/>
        <w:bidi w:val="0"/>
        <w:spacing w:line="560" w:lineRule="exact"/>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根据评分公式，部门全年预算调剂金额/年初部门预算数=0.13&gt;0.1</w:t>
      </w:r>
    </w:p>
    <w:p w14:paraId="53D1D6E7">
      <w:pPr>
        <w:pStyle w:val="4"/>
        <w:pageBreakBefore w:val="0"/>
        <w:wordWrap/>
        <w:overflowPunct/>
        <w:topLinePunct w:val="0"/>
        <w:bidi w:val="0"/>
        <w:spacing w:line="560" w:lineRule="exact"/>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综合上述分析，此项指标分值10分，实际得分0分，扣分10分。</w:t>
      </w:r>
    </w:p>
    <w:p w14:paraId="2E87FD2E">
      <w:pPr>
        <w:pStyle w:val="4"/>
        <w:pageBreakBefore w:val="0"/>
        <w:widowControl w:val="0"/>
        <w:numPr>
          <w:ilvl w:val="0"/>
          <w:numId w:val="3"/>
        </w:numPr>
        <w:kinsoku/>
        <w:wordWrap/>
        <w:overflowPunct/>
        <w:topLinePunct w:val="0"/>
        <w:autoSpaceDE/>
        <w:autoSpaceDN/>
        <w:bidi w:val="0"/>
        <w:spacing w:line="560" w:lineRule="exact"/>
        <w:ind w:left="0" w:leftChars="0" w:firstLine="643" w:firstLineChars="200"/>
        <w:textAlignment w:val="auto"/>
        <w:outlineLvl w:val="2"/>
        <w:rPr>
          <w:rFonts w:hint="eastAsia"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预算执行</w:t>
      </w:r>
    </w:p>
    <w:p w14:paraId="4A51A153">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①支出控制</w:t>
      </w:r>
    </w:p>
    <w:p w14:paraId="055D4246">
      <w:pPr>
        <w:pStyle w:val="4"/>
        <w:pageBreakBefore w:val="0"/>
        <w:wordWrap/>
        <w:overflowPunct/>
        <w:topLinePunct w:val="0"/>
        <w:bidi w:val="0"/>
        <w:spacing w:line="560" w:lineRule="exact"/>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14:textFill>
            <w14:solidFill>
              <w14:schemeClr w14:val="tx1"/>
            </w14:solidFill>
          </w14:textFill>
        </w:rPr>
        <w:t>日常公用经费及项目支出中“办公费、印刷费、水费、电费、物业管理费”等科目年初预算数为</w:t>
      </w:r>
      <w:r>
        <w:rPr>
          <w:rFonts w:hint="eastAsia"/>
          <w:color w:val="000000" w:themeColor="text1"/>
          <w:highlight w:val="none"/>
          <w:lang w:val="en-US" w:eastAsia="zh-CN"/>
          <w14:textFill>
            <w14:solidFill>
              <w14:schemeClr w14:val="tx1"/>
            </w14:solidFill>
          </w14:textFill>
        </w:rPr>
        <w:t>91.77</w:t>
      </w:r>
      <w:r>
        <w:rPr>
          <w:rFonts w:hint="eastAsia"/>
          <w:color w:val="000000" w:themeColor="text1"/>
          <w:highlight w:val="none"/>
          <w:lang w:val="en-US"/>
          <w14:textFill>
            <w14:solidFill>
              <w14:schemeClr w14:val="tx1"/>
            </w14:solidFill>
          </w14:textFill>
        </w:rPr>
        <w:t>万元，决算数为</w:t>
      </w:r>
      <w:r>
        <w:rPr>
          <w:rFonts w:hint="eastAsia"/>
          <w:color w:val="000000" w:themeColor="text1"/>
          <w:highlight w:val="none"/>
          <w:lang w:val="en-US" w:eastAsia="zh-CN"/>
          <w14:textFill>
            <w14:solidFill>
              <w14:schemeClr w14:val="tx1"/>
            </w14:solidFill>
          </w14:textFill>
        </w:rPr>
        <w:t>81.37</w:t>
      </w:r>
      <w:r>
        <w:rPr>
          <w:rFonts w:hint="eastAsia"/>
          <w:color w:val="000000" w:themeColor="text1"/>
          <w:highlight w:val="none"/>
          <w:lang w:val="en-US"/>
          <w14:textFill>
            <w14:solidFill>
              <w14:schemeClr w14:val="tx1"/>
            </w14:solidFill>
          </w14:textFill>
        </w:rPr>
        <w:t>万元，预决算偏差程度为</w:t>
      </w:r>
      <w:r>
        <w:rPr>
          <w:rFonts w:hint="eastAsia"/>
          <w:color w:val="000000" w:themeColor="text1"/>
          <w:highlight w:val="none"/>
          <w:lang w:val="en-US" w:eastAsia="zh-CN"/>
          <w14:textFill>
            <w14:solidFill>
              <w14:schemeClr w14:val="tx1"/>
            </w14:solidFill>
          </w14:textFill>
        </w:rPr>
        <w:t>11.33%</w:t>
      </w:r>
      <w:r>
        <w:rPr>
          <w:rFonts w:hint="eastAsia"/>
          <w:color w:val="000000" w:themeColor="text1"/>
          <w:highlight w:val="none"/>
          <w:lang w:val="en-US"/>
          <w14:textFill>
            <w14:solidFill>
              <w14:schemeClr w14:val="tx1"/>
            </w14:solidFill>
          </w14:textFill>
        </w:rPr>
        <w:t>，偏差程度</w:t>
      </w:r>
      <w:r>
        <w:rPr>
          <w:rFonts w:hint="eastAsia"/>
          <w:color w:val="000000" w:themeColor="text1"/>
          <w:highlight w:val="none"/>
          <w:lang w:val="en-US" w:eastAsia="zh-CN"/>
          <w14:textFill>
            <w14:solidFill>
              <w14:schemeClr w14:val="tx1"/>
            </w14:solidFill>
          </w14:textFill>
        </w:rPr>
        <w:t>在10%-20%之间，预算编制不够准确。</w:t>
      </w:r>
    </w:p>
    <w:p w14:paraId="0F7D4BC8">
      <w:pPr>
        <w:pStyle w:val="4"/>
        <w:pageBreakBefore w:val="0"/>
        <w:wordWrap/>
        <w:overflowPunct/>
        <w:topLinePunct w:val="0"/>
        <w:bidi w:val="0"/>
        <w:spacing w:line="560" w:lineRule="exact"/>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综合上述分析，此项指标分值10分，实际得分5分，扣分5分。</w:t>
      </w:r>
    </w:p>
    <w:p w14:paraId="4EA5A771">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②动态调整</w:t>
      </w:r>
    </w:p>
    <w:p w14:paraId="02084649">
      <w:pPr>
        <w:pStyle w:val="4"/>
        <w:pageBreakBefore w:val="0"/>
        <w:wordWrap/>
        <w:overflowPunct/>
        <w:topLinePunct w:val="0"/>
        <w:bidi w:val="0"/>
        <w:spacing w:line="560" w:lineRule="exact"/>
        <w:rPr>
          <w:rFonts w:hint="eastAsia"/>
          <w:highlight w:val="none"/>
        </w:rPr>
      </w:pPr>
      <w:r>
        <w:rPr>
          <w:rFonts w:hint="eastAsia"/>
          <w:highlight w:val="none"/>
        </w:rPr>
        <w:t>根据部门项目绩效监控分析表及相关数据知，</w:t>
      </w:r>
      <w:r>
        <w:rPr>
          <w:rFonts w:hint="eastAsia"/>
          <w:highlight w:val="none"/>
          <w:lang w:val="en-US" w:eastAsia="zh-CN"/>
        </w:rPr>
        <w:t>洋渡实验学校</w:t>
      </w:r>
      <w:r>
        <w:rPr>
          <w:rFonts w:hint="eastAsia"/>
          <w:highlight w:val="none"/>
        </w:rPr>
        <w:t>开展绩效运行监控后，无相应调整取消额，无结余注销额，绩效监控结果应用情况良好。</w:t>
      </w:r>
    </w:p>
    <w:p w14:paraId="1989DD6E">
      <w:pPr>
        <w:pStyle w:val="4"/>
        <w:pageBreakBefore w:val="0"/>
        <w:wordWrap/>
        <w:overflowPunct/>
        <w:topLinePunct w:val="0"/>
        <w:bidi w:val="0"/>
        <w:spacing w:line="560" w:lineRule="exact"/>
        <w:rPr>
          <w:rFonts w:hint="eastAsia"/>
          <w:highlight w:val="none"/>
          <w:lang w:val="en-US" w:eastAsia="zh-CN"/>
        </w:rPr>
      </w:pPr>
      <w:r>
        <w:rPr>
          <w:rFonts w:hint="eastAsia"/>
          <w:color w:val="000000" w:themeColor="text1"/>
          <w:highlight w:val="none"/>
          <w:lang w:val="en-US" w:eastAsia="zh-CN"/>
          <w14:textFill>
            <w14:solidFill>
              <w14:schemeClr w14:val="tx1"/>
            </w14:solidFill>
          </w14:textFill>
        </w:rPr>
        <w:t>综合上述分析，此项指标分值10分，实际得分10分。</w:t>
      </w:r>
    </w:p>
    <w:p w14:paraId="2C235E91">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③执行进度</w:t>
      </w:r>
    </w:p>
    <w:p w14:paraId="78141E7A">
      <w:pPr>
        <w:pStyle w:val="4"/>
        <w:pageBreakBefore w:val="0"/>
        <w:wordWrap/>
        <w:overflowPunct/>
        <w:topLinePunct w:val="0"/>
        <w:bidi w:val="0"/>
        <w:spacing w:line="560" w:lineRule="exact"/>
        <w:rPr>
          <w:rFonts w:hint="eastAsia"/>
          <w:highlight w:val="none"/>
        </w:rPr>
      </w:pPr>
      <w:r>
        <w:rPr>
          <w:rFonts w:hint="eastAsia"/>
          <w:highlight w:val="none"/>
        </w:rPr>
        <w:t>在</w:t>
      </w:r>
      <w:r>
        <w:rPr>
          <w:rFonts w:hint="eastAsia"/>
          <w:highlight w:val="none"/>
          <w:lang w:val="en-US"/>
        </w:rPr>
        <w:t>202</w:t>
      </w:r>
      <w:r>
        <w:rPr>
          <w:rFonts w:hint="eastAsia"/>
          <w:highlight w:val="none"/>
          <w:lang w:val="en-US" w:eastAsia="zh-CN"/>
        </w:rPr>
        <w:t>1</w:t>
      </w:r>
      <w:r>
        <w:rPr>
          <w:rFonts w:hint="eastAsia"/>
          <w:highlight w:val="none"/>
          <w:lang w:val="en-US"/>
        </w:rPr>
        <w:t>年</w:t>
      </w:r>
      <w:r>
        <w:rPr>
          <w:rFonts w:hint="eastAsia"/>
          <w:highlight w:val="none"/>
          <w:lang w:val="en-US" w:eastAsia="zh-CN"/>
        </w:rPr>
        <w:t>1-</w:t>
      </w:r>
      <w:r>
        <w:rPr>
          <w:rFonts w:hint="eastAsia"/>
          <w:highlight w:val="none"/>
          <w:lang w:val="en-US"/>
        </w:rPr>
        <w:t>6月、</w:t>
      </w:r>
      <w:r>
        <w:rPr>
          <w:rFonts w:hint="eastAsia"/>
          <w:highlight w:val="none"/>
          <w:lang w:val="en-US" w:eastAsia="zh-CN"/>
        </w:rPr>
        <w:t>1-</w:t>
      </w:r>
      <w:r>
        <w:rPr>
          <w:rFonts w:hint="eastAsia"/>
          <w:highlight w:val="none"/>
          <w:lang w:val="en-US"/>
        </w:rPr>
        <w:t>9</w:t>
      </w:r>
      <w:r>
        <w:rPr>
          <w:rFonts w:hint="eastAsia"/>
          <w:highlight w:val="none"/>
        </w:rPr>
        <w:t>月、</w:t>
      </w:r>
      <w:r>
        <w:rPr>
          <w:rFonts w:hint="eastAsia"/>
          <w:highlight w:val="none"/>
          <w:lang w:val="en-US" w:eastAsia="zh-CN"/>
        </w:rPr>
        <w:t>1-</w:t>
      </w:r>
      <w:r>
        <w:rPr>
          <w:rFonts w:hint="eastAsia"/>
          <w:highlight w:val="none"/>
        </w:rPr>
        <w:t>11月预算执行进度</w:t>
      </w:r>
      <w:r>
        <w:rPr>
          <w:highlight w:val="none"/>
        </w:rPr>
        <w:t>分别为</w:t>
      </w:r>
      <w:r>
        <w:rPr>
          <w:rFonts w:hint="eastAsia"/>
          <w:highlight w:val="none"/>
        </w:rPr>
        <w:t>45.15%、</w:t>
      </w:r>
      <w:r>
        <w:rPr>
          <w:rFonts w:hint="eastAsia"/>
          <w:highlight w:val="none"/>
          <w:lang w:val="en-US" w:eastAsia="zh-CN"/>
        </w:rPr>
        <w:t>71.21%</w:t>
      </w:r>
      <w:r>
        <w:rPr>
          <w:rFonts w:hint="eastAsia"/>
          <w:highlight w:val="none"/>
        </w:rPr>
        <w:t>、</w:t>
      </w:r>
      <w:r>
        <w:rPr>
          <w:rFonts w:hint="eastAsia"/>
          <w:highlight w:val="none"/>
          <w:lang w:val="en-US" w:eastAsia="zh-CN"/>
        </w:rPr>
        <w:t>80.74%</w:t>
      </w:r>
      <w:r>
        <w:rPr>
          <w:rFonts w:hint="eastAsia"/>
          <w:highlight w:val="none"/>
        </w:rPr>
        <w:t>（实际支出</w:t>
      </w:r>
      <w:r>
        <w:rPr>
          <w:rFonts w:hint="eastAsia"/>
          <w:highlight w:val="none"/>
          <w:lang w:val="en-US"/>
        </w:rPr>
        <w:t>金额</w:t>
      </w:r>
      <w:r>
        <w:rPr>
          <w:rFonts w:hint="eastAsia"/>
          <w:highlight w:val="none"/>
        </w:rPr>
        <w:t>分别为</w:t>
      </w:r>
      <w:r>
        <w:rPr>
          <w:rFonts w:hint="eastAsia"/>
          <w:highlight w:val="none"/>
          <w:lang w:val="en-US" w:eastAsia="zh-CN"/>
        </w:rPr>
        <w:t>763.62</w:t>
      </w:r>
      <w:r>
        <w:rPr>
          <w:rFonts w:hint="eastAsia"/>
          <w:highlight w:val="none"/>
        </w:rPr>
        <w:t>万元、</w:t>
      </w:r>
      <w:r>
        <w:rPr>
          <w:rFonts w:hint="eastAsia"/>
          <w:highlight w:val="none"/>
          <w:lang w:val="en-US" w:eastAsia="zh-CN"/>
        </w:rPr>
        <w:t>1,204.41</w:t>
      </w:r>
      <w:r>
        <w:rPr>
          <w:rFonts w:hint="eastAsia"/>
          <w:highlight w:val="none"/>
        </w:rPr>
        <w:t>万元、</w:t>
      </w:r>
      <w:r>
        <w:rPr>
          <w:rFonts w:hint="eastAsia"/>
          <w:highlight w:val="none"/>
          <w:lang w:val="en-US" w:eastAsia="zh-CN"/>
        </w:rPr>
        <w:t>1,365.43</w:t>
      </w:r>
      <w:r>
        <w:rPr>
          <w:rFonts w:hint="eastAsia"/>
          <w:highlight w:val="none"/>
        </w:rPr>
        <w:t>万元），</w:t>
      </w:r>
      <w:r>
        <w:rPr>
          <w:rFonts w:hint="eastAsia"/>
          <w:highlight w:val="none"/>
          <w:lang w:val="en-US" w:eastAsia="zh-CN"/>
        </w:rPr>
        <w:t>其中6月和9月</w:t>
      </w:r>
      <w:r>
        <w:rPr>
          <w:rFonts w:hint="eastAsia"/>
          <w:highlight w:val="none"/>
        </w:rPr>
        <w:t>实际支出进度分别达到40%、67.5%</w:t>
      </w:r>
      <w:r>
        <w:rPr>
          <w:rFonts w:hint="eastAsia"/>
          <w:highlight w:val="none"/>
          <w:lang w:eastAsia="zh-CN"/>
        </w:rPr>
        <w:t>，</w:t>
      </w:r>
      <w:r>
        <w:rPr>
          <w:rFonts w:hint="eastAsia"/>
          <w:highlight w:val="none"/>
          <w:lang w:val="en-US" w:eastAsia="zh-CN"/>
        </w:rPr>
        <w:t>11月实际支付进度未达到</w:t>
      </w:r>
      <w:r>
        <w:rPr>
          <w:rFonts w:hint="eastAsia"/>
          <w:highlight w:val="none"/>
        </w:rPr>
        <w:t>82.5%</w:t>
      </w:r>
      <w:r>
        <w:rPr>
          <w:rFonts w:hint="eastAsia"/>
          <w:highlight w:val="none"/>
          <w:lang w:eastAsia="zh-CN"/>
        </w:rPr>
        <w:t>，</w:t>
      </w:r>
      <w:r>
        <w:rPr>
          <w:rFonts w:hint="eastAsia"/>
          <w:highlight w:val="none"/>
          <w:lang w:val="en-US"/>
        </w:rPr>
        <w:t>预算</w:t>
      </w:r>
      <w:r>
        <w:rPr>
          <w:rFonts w:hint="eastAsia"/>
          <w:highlight w:val="none"/>
        </w:rPr>
        <w:t>执行进度完成</w:t>
      </w:r>
      <w:r>
        <w:rPr>
          <w:rFonts w:hint="eastAsia"/>
          <w:highlight w:val="none"/>
          <w:lang w:val="en-US" w:eastAsia="zh-CN"/>
        </w:rPr>
        <w:t>欠佳</w:t>
      </w:r>
      <w:r>
        <w:rPr>
          <w:rFonts w:hint="eastAsia"/>
          <w:highlight w:val="none"/>
        </w:rPr>
        <w:t>。</w:t>
      </w:r>
    </w:p>
    <w:p w14:paraId="4CFC9C2C">
      <w:pPr>
        <w:pStyle w:val="4"/>
        <w:pageBreakBefore w:val="0"/>
        <w:wordWrap/>
        <w:overflowPunct/>
        <w:topLinePunct w:val="0"/>
        <w:bidi w:val="0"/>
        <w:spacing w:line="560" w:lineRule="exact"/>
        <w:rPr>
          <w:rFonts w:hint="default"/>
          <w:highlight w:val="none"/>
          <w:lang w:val="en-US"/>
        </w:rPr>
      </w:pPr>
      <w:r>
        <w:rPr>
          <w:rFonts w:hint="eastAsia"/>
          <w:color w:val="000000" w:themeColor="text1"/>
          <w:highlight w:val="none"/>
          <w:lang w:val="en-US" w:eastAsia="zh-CN"/>
          <w14:textFill>
            <w14:solidFill>
              <w14:schemeClr w14:val="tx1"/>
            </w14:solidFill>
          </w14:textFill>
        </w:rPr>
        <w:t>根据评分公式，指标得分=3+4+80.74%/82.5%*3=9.94分</w:t>
      </w:r>
    </w:p>
    <w:p w14:paraId="66A5939C">
      <w:pPr>
        <w:pStyle w:val="4"/>
        <w:pageBreakBefore w:val="0"/>
        <w:wordWrap/>
        <w:overflowPunct/>
        <w:topLinePunct w:val="0"/>
        <w:bidi w:val="0"/>
        <w:spacing w:line="560" w:lineRule="exact"/>
        <w:rPr>
          <w:rFonts w:hint="default"/>
          <w:highlight w:val="none"/>
          <w:lang w:val="en-US" w:eastAsia="zh-CN"/>
        </w:rPr>
      </w:pPr>
      <w:r>
        <w:rPr>
          <w:rFonts w:hint="eastAsia"/>
          <w:color w:val="000000" w:themeColor="text1"/>
          <w:highlight w:val="none"/>
          <w:lang w:val="en-US" w:eastAsia="zh-CN"/>
          <w14:textFill>
            <w14:solidFill>
              <w14:schemeClr w14:val="tx1"/>
            </w14:solidFill>
          </w14:textFill>
        </w:rPr>
        <w:t>综合上述分析，此项指标分值10分，实际得分9.94分，扣分0.06分。</w:t>
      </w:r>
    </w:p>
    <w:p w14:paraId="28076739">
      <w:pPr>
        <w:pStyle w:val="4"/>
        <w:pageBreakBefore w:val="0"/>
        <w:widowControl w:val="0"/>
        <w:numPr>
          <w:ilvl w:val="0"/>
          <w:numId w:val="3"/>
        </w:numPr>
        <w:kinsoku/>
        <w:wordWrap/>
        <w:overflowPunct/>
        <w:topLinePunct w:val="0"/>
        <w:autoSpaceDE/>
        <w:autoSpaceDN/>
        <w:bidi w:val="0"/>
        <w:spacing w:line="560" w:lineRule="exact"/>
        <w:ind w:left="0" w:leftChars="0" w:firstLine="643" w:firstLineChars="200"/>
        <w:textAlignment w:val="auto"/>
        <w:outlineLvl w:val="2"/>
        <w:rPr>
          <w:rFonts w:hint="default"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完成结果</w:t>
      </w:r>
    </w:p>
    <w:p w14:paraId="39EFE03E">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①预算完成</w:t>
      </w:r>
    </w:p>
    <w:p w14:paraId="555C0F5B">
      <w:pPr>
        <w:pStyle w:val="4"/>
        <w:pageBreakBefore w:val="0"/>
        <w:wordWrap/>
        <w:overflowPunct/>
        <w:topLinePunct w:val="0"/>
        <w:bidi w:val="0"/>
        <w:spacing w:line="560" w:lineRule="exact"/>
        <w:rPr>
          <w:rFonts w:hint="eastAsia" w:ascii="Times New Roman" w:hAnsi="Times New Roman" w:eastAsia="仿宋_GB2312" w:cs="Times New Roman"/>
          <w:kern w:val="0"/>
          <w:sz w:val="32"/>
          <w:szCs w:val="32"/>
          <w:highlight w:val="none"/>
        </w:rPr>
      </w:pPr>
      <w:r>
        <w:rPr>
          <w:rFonts w:hint="eastAsia" w:ascii="Times New Roman" w:hAnsi="Times New Roman" w:eastAsia="仿宋_GB2312" w:cs="Times New Roman"/>
          <w:kern w:val="0"/>
          <w:sz w:val="32"/>
          <w:szCs w:val="32"/>
          <w:highlight w:val="none"/>
        </w:rPr>
        <w:t>202</w:t>
      </w:r>
      <w:r>
        <w:rPr>
          <w:rFonts w:hint="eastAsia" w:ascii="Times New Roman" w:hAnsi="Times New Roman" w:eastAsia="仿宋_GB2312" w:cs="Times New Roman"/>
          <w:kern w:val="0"/>
          <w:sz w:val="32"/>
          <w:szCs w:val="32"/>
          <w:highlight w:val="none"/>
          <w:lang w:val="en-US" w:eastAsia="zh-CN"/>
        </w:rPr>
        <w:t>1</w:t>
      </w:r>
      <w:r>
        <w:rPr>
          <w:rFonts w:hint="eastAsia" w:ascii="Times New Roman" w:hAnsi="Times New Roman" w:eastAsia="仿宋_GB2312" w:cs="Times New Roman"/>
          <w:kern w:val="0"/>
          <w:sz w:val="32"/>
          <w:szCs w:val="32"/>
          <w:highlight w:val="none"/>
        </w:rPr>
        <w:t>年部门</w:t>
      </w:r>
      <w:r>
        <w:rPr>
          <w:rFonts w:hint="eastAsia" w:ascii="Times New Roman" w:hAnsi="Times New Roman" w:eastAsia="仿宋_GB2312" w:cs="Times New Roman"/>
          <w:kern w:val="0"/>
          <w:sz w:val="32"/>
          <w:szCs w:val="32"/>
          <w:highlight w:val="none"/>
          <w:lang w:val="en-US" w:eastAsia="zh-CN"/>
        </w:rPr>
        <w:t>调整</w:t>
      </w:r>
      <w:r>
        <w:rPr>
          <w:rFonts w:hint="eastAsia" w:ascii="Times New Roman" w:hAnsi="Times New Roman" w:eastAsia="仿宋_GB2312" w:cs="Times New Roman"/>
          <w:kern w:val="0"/>
          <w:sz w:val="32"/>
          <w:szCs w:val="32"/>
          <w:highlight w:val="none"/>
        </w:rPr>
        <w:t>预算</w:t>
      </w:r>
      <w:r>
        <w:rPr>
          <w:rFonts w:hint="eastAsia" w:cs="Times New Roman"/>
          <w:kern w:val="0"/>
          <w:sz w:val="32"/>
          <w:szCs w:val="32"/>
          <w:highlight w:val="none"/>
          <w:lang w:val="en-US" w:eastAsia="zh-CN"/>
        </w:rPr>
        <w:t>数</w:t>
      </w:r>
      <w:r>
        <w:rPr>
          <w:rFonts w:hint="eastAsia" w:ascii="Times New Roman" w:hAnsi="Times New Roman" w:eastAsia="仿宋_GB2312" w:cs="Times New Roman"/>
          <w:kern w:val="0"/>
          <w:sz w:val="32"/>
          <w:szCs w:val="32"/>
          <w:highlight w:val="none"/>
          <w:lang w:val="en-US" w:eastAsia="zh-CN"/>
        </w:rPr>
        <w:t>为</w:t>
      </w:r>
      <w:r>
        <w:rPr>
          <w:rFonts w:hint="eastAsia"/>
          <w:color w:val="000000" w:themeColor="text1"/>
          <w:highlight w:val="none"/>
          <w:lang w:val="en-US" w:eastAsia="zh-CN"/>
          <w14:textFill>
            <w14:solidFill>
              <w14:schemeClr w14:val="tx1"/>
            </w14:solidFill>
          </w14:textFill>
        </w:rPr>
        <w:t>1726.24万元，</w:t>
      </w:r>
      <w:r>
        <w:rPr>
          <w:rFonts w:hint="eastAsia"/>
          <w:color w:val="000000" w:themeColor="text1"/>
          <w:highlight w:val="none"/>
          <w:lang w:val="en-US"/>
          <w14:textFill>
            <w14:solidFill>
              <w14:schemeClr w14:val="tx1"/>
            </w14:solidFill>
          </w14:textFill>
        </w:rPr>
        <w:t>支出决算数为</w:t>
      </w:r>
      <w:r>
        <w:rPr>
          <w:rFonts w:hint="eastAsia"/>
          <w:color w:val="000000" w:themeColor="text1"/>
          <w:highlight w:val="none"/>
          <w:lang w:val="en-US" w:eastAsia="zh-CN"/>
          <w14:textFill>
            <w14:solidFill>
              <w14:schemeClr w14:val="tx1"/>
            </w14:solidFill>
          </w14:textFill>
        </w:rPr>
        <w:t>1691.23</w:t>
      </w:r>
      <w:r>
        <w:rPr>
          <w:rFonts w:hint="eastAsia"/>
          <w:color w:val="000000" w:themeColor="text1"/>
          <w:highlight w:val="none"/>
          <w:lang w:val="en-US"/>
          <w14:textFill>
            <w14:solidFill>
              <w14:schemeClr w14:val="tx1"/>
            </w14:solidFill>
          </w14:textFill>
        </w:rPr>
        <w:t>万元</w:t>
      </w:r>
      <w:r>
        <w:rPr>
          <w:rFonts w:hint="eastAsia" w:ascii="Times New Roman" w:hAnsi="Times New Roman" w:eastAsia="仿宋_GB2312" w:cs="Times New Roman"/>
          <w:kern w:val="0"/>
          <w:sz w:val="32"/>
          <w:szCs w:val="32"/>
          <w:highlight w:val="none"/>
        </w:rPr>
        <w:t>，部门整体实际预算执行率为</w:t>
      </w:r>
      <w:r>
        <w:rPr>
          <w:rFonts w:hint="eastAsia" w:ascii="Times New Roman" w:hAnsi="Times New Roman" w:eastAsia="仿宋"/>
          <w:color w:val="auto"/>
          <w:sz w:val="32"/>
          <w:szCs w:val="32"/>
          <w:lang w:val="en-US" w:eastAsia="zh-CN"/>
        </w:rPr>
        <w:t>97.97%</w:t>
      </w:r>
      <w:r>
        <w:rPr>
          <w:rFonts w:hint="eastAsia" w:ascii="Times New Roman" w:hAnsi="Times New Roman" w:eastAsia="仿宋_GB2312" w:cs="Times New Roman"/>
          <w:kern w:val="0"/>
          <w:sz w:val="32"/>
          <w:szCs w:val="32"/>
          <w:highlight w:val="none"/>
        </w:rPr>
        <w:t>，预算完成情况</w:t>
      </w:r>
      <w:r>
        <w:rPr>
          <w:rFonts w:hint="eastAsia" w:cs="Times New Roman"/>
          <w:kern w:val="0"/>
          <w:sz w:val="32"/>
          <w:szCs w:val="32"/>
          <w:highlight w:val="none"/>
          <w:lang w:val="en-US" w:eastAsia="zh-CN"/>
        </w:rPr>
        <w:t>较好</w:t>
      </w:r>
      <w:r>
        <w:rPr>
          <w:rFonts w:hint="eastAsia" w:ascii="Times New Roman" w:hAnsi="Times New Roman" w:eastAsia="仿宋_GB2312" w:cs="Times New Roman"/>
          <w:kern w:val="0"/>
          <w:sz w:val="32"/>
          <w:szCs w:val="32"/>
          <w:highlight w:val="none"/>
        </w:rPr>
        <w:t>。</w:t>
      </w:r>
    </w:p>
    <w:p w14:paraId="211A5B3C">
      <w:pPr>
        <w:pStyle w:val="4"/>
        <w:pageBreakBefore w:val="0"/>
        <w:wordWrap/>
        <w:overflowPunct/>
        <w:topLinePunct w:val="0"/>
        <w:bidi w:val="0"/>
        <w:spacing w:line="560" w:lineRule="exact"/>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根据评分公式，得分=</w:t>
      </w:r>
      <w:r>
        <w:rPr>
          <w:rFonts w:hint="eastAsia" w:ascii="Times New Roman" w:hAnsi="Times New Roman" w:eastAsia="仿宋"/>
          <w:color w:val="auto"/>
          <w:sz w:val="32"/>
          <w:szCs w:val="32"/>
          <w:lang w:val="en-US" w:eastAsia="zh-CN"/>
        </w:rPr>
        <w:t>97.97%*</w:t>
      </w:r>
      <w:r>
        <w:rPr>
          <w:rFonts w:hint="eastAsia" w:eastAsia="仿宋"/>
          <w:color w:val="auto"/>
          <w:sz w:val="32"/>
          <w:szCs w:val="32"/>
          <w:lang w:val="en-US" w:eastAsia="zh-CN"/>
        </w:rPr>
        <w:t>10=9.8分</w:t>
      </w:r>
    </w:p>
    <w:p w14:paraId="2D68E4EE">
      <w:pPr>
        <w:pStyle w:val="4"/>
        <w:pageBreakBefore w:val="0"/>
        <w:wordWrap/>
        <w:overflowPunct/>
        <w:topLinePunct w:val="0"/>
        <w:bidi w:val="0"/>
        <w:spacing w:line="560" w:lineRule="exact"/>
        <w:rPr>
          <w:rFonts w:hint="eastAsia" w:ascii="Times New Roman" w:hAnsi="Times New Roman" w:eastAsia="仿宋_GB2312" w:cs="Times New Roman"/>
          <w:kern w:val="0"/>
          <w:sz w:val="32"/>
          <w:szCs w:val="32"/>
          <w:highlight w:val="none"/>
        </w:rPr>
      </w:pPr>
      <w:r>
        <w:rPr>
          <w:rFonts w:hint="eastAsia"/>
          <w:color w:val="000000" w:themeColor="text1"/>
          <w:highlight w:val="none"/>
          <w:lang w:val="en-US" w:eastAsia="zh-CN"/>
          <w14:textFill>
            <w14:solidFill>
              <w14:schemeClr w14:val="tx1"/>
            </w14:solidFill>
          </w14:textFill>
        </w:rPr>
        <w:t>综合上述分析，此项指标分值10分，实际得分9.8分，扣分0.2分。</w:t>
      </w:r>
    </w:p>
    <w:p w14:paraId="6C607606">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②违规记录</w:t>
      </w:r>
    </w:p>
    <w:p w14:paraId="028C46CA">
      <w:pPr>
        <w:pageBreakBefore w:val="0"/>
        <w:wordWrap/>
        <w:overflowPunct/>
        <w:topLinePunct w:val="0"/>
        <w:autoSpaceDE w:val="0"/>
        <w:autoSpaceDN w:val="0"/>
        <w:bidi w:val="0"/>
        <w:adjustRightInd w:val="0"/>
        <w:spacing w:line="560" w:lineRule="exact"/>
        <w:ind w:firstLine="640" w:firstLineChars="200"/>
        <w:jc w:val="left"/>
        <w:rPr>
          <w:rFonts w:hint="eastAsia" w:ascii="Times New Roman" w:hAnsi="Times New Roman" w:eastAsia="仿宋_GB2312" w:cs="Times New Roman"/>
          <w:kern w:val="0"/>
          <w:sz w:val="32"/>
          <w:szCs w:val="32"/>
          <w:highlight w:val="none"/>
        </w:rPr>
      </w:pPr>
      <w:r>
        <w:rPr>
          <w:rFonts w:hint="eastAsia" w:ascii="Times New Roman" w:hAnsi="Times New Roman" w:eastAsia="仿宋_GB2312" w:cs="Times New Roman"/>
          <w:kern w:val="0"/>
          <w:sz w:val="32"/>
          <w:szCs w:val="32"/>
          <w:highlight w:val="none"/>
          <w:lang w:val="en-US" w:eastAsia="zh-CN"/>
        </w:rPr>
        <w:t>根据审计监督、财政检查结果尚未发现该项目的违规记录。</w:t>
      </w:r>
    </w:p>
    <w:p w14:paraId="6C7340F1">
      <w:pPr>
        <w:pStyle w:val="2"/>
        <w:pageBreakBefore w:val="0"/>
        <w:wordWrap/>
        <w:overflowPunct/>
        <w:topLinePunct w:val="0"/>
        <w:bidi w:val="0"/>
        <w:spacing w:line="560" w:lineRule="exact"/>
        <w:rPr>
          <w:rFonts w:hint="default" w:eastAsia="仿宋_GB2312"/>
          <w:highlight w:val="none"/>
          <w:lang w:val="en-US" w:eastAsia="zh-CN"/>
        </w:rPr>
      </w:pPr>
      <w:r>
        <w:rPr>
          <w:rFonts w:hint="eastAsia" w:eastAsia="仿宋_GB2312" w:cs="Times New Roman"/>
          <w:kern w:val="0"/>
          <w:sz w:val="32"/>
          <w:szCs w:val="32"/>
          <w:highlight w:val="none"/>
          <w:lang w:val="en-US" w:eastAsia="zh-CN"/>
        </w:rPr>
        <w:t>综合上述分析，此项指标分值10分，实际得分10分。</w:t>
      </w:r>
    </w:p>
    <w:p w14:paraId="42B557FE">
      <w:pPr>
        <w:pStyle w:val="4"/>
        <w:pageBreakBefore w:val="0"/>
        <w:widowControl w:val="0"/>
        <w:numPr>
          <w:ilvl w:val="-1"/>
          <w:numId w:val="0"/>
        </w:numPr>
        <w:kinsoku/>
        <w:wordWrap/>
        <w:overflowPunct/>
        <w:topLinePunct w:val="0"/>
        <w:autoSpaceDE/>
        <w:autoSpaceDN/>
        <w:bidi w:val="0"/>
        <w:spacing w:line="560" w:lineRule="exact"/>
        <w:ind w:left="0" w:leftChars="0" w:firstLine="643" w:firstLineChars="200"/>
        <w:textAlignment w:val="auto"/>
        <w:outlineLvl w:val="2"/>
        <w:rPr>
          <w:rFonts w:hint="default"/>
          <w:lang w:val="en-US" w:eastAsia="zh-CN"/>
        </w:rPr>
      </w:pPr>
      <w:r>
        <w:rPr>
          <w:rFonts w:hint="eastAsia" w:ascii="仿宋" w:hAnsi="仿宋" w:eastAsia="仿宋" w:cs="仿宋"/>
          <w:b/>
          <w:color w:val="auto"/>
          <w:kern w:val="2"/>
          <w:sz w:val="32"/>
          <w:szCs w:val="32"/>
          <w:lang w:val="en-US" w:eastAsia="zh-CN" w:bidi="ar-SA"/>
        </w:rPr>
        <w:t>2.绩效结果应用</w:t>
      </w:r>
    </w:p>
    <w:p w14:paraId="75CF49C3">
      <w:pPr>
        <w:pStyle w:val="4"/>
        <w:pageBreakBefore w:val="0"/>
        <w:widowControl w:val="0"/>
        <w:numPr>
          <w:ilvl w:val="0"/>
          <w:numId w:val="0"/>
        </w:numPr>
        <w:kinsoku/>
        <w:wordWrap/>
        <w:overflowPunct/>
        <w:topLinePunct w:val="0"/>
        <w:autoSpaceDE/>
        <w:autoSpaceDN/>
        <w:bidi w:val="0"/>
        <w:spacing w:line="560" w:lineRule="exact"/>
        <w:ind w:leftChars="200"/>
        <w:textAlignment w:val="auto"/>
        <w:outlineLvl w:val="2"/>
        <w:rPr>
          <w:rFonts w:hint="default"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（1）信息公开</w:t>
      </w:r>
    </w:p>
    <w:p w14:paraId="2D21F56E">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①自评公开</w:t>
      </w:r>
    </w:p>
    <w:p w14:paraId="616A05CC">
      <w:pPr>
        <w:pStyle w:val="4"/>
        <w:pageBreakBefore w:val="0"/>
        <w:wordWrap/>
        <w:overflowPunct/>
        <w:topLinePunct w:val="0"/>
        <w:bidi w:val="0"/>
        <w:spacing w:line="560" w:lineRule="exact"/>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洋渡实验学校</w:t>
      </w:r>
      <w:r>
        <w:rPr>
          <w:color w:val="000000" w:themeColor="text1"/>
          <w:highlight w:val="none"/>
          <w14:textFill>
            <w14:solidFill>
              <w14:schemeClr w14:val="tx1"/>
            </w14:solidFill>
          </w14:textFill>
        </w:rPr>
        <w:t>20</w:t>
      </w:r>
      <w:r>
        <w:rPr>
          <w:rFonts w:hint="eastAsia"/>
          <w:color w:val="000000" w:themeColor="text1"/>
          <w:highlight w:val="none"/>
          <w:lang w:val="en-US" w:eastAsia="zh-CN"/>
          <w14:textFill>
            <w14:solidFill>
              <w14:schemeClr w14:val="tx1"/>
            </w14:solidFill>
          </w14:textFill>
        </w:rPr>
        <w:t>21</w:t>
      </w:r>
      <w:r>
        <w:rPr>
          <w:color w:val="000000" w:themeColor="text1"/>
          <w:highlight w:val="none"/>
          <w14:textFill>
            <w14:solidFill>
              <w14:schemeClr w14:val="tx1"/>
            </w14:solidFill>
          </w14:textFill>
        </w:rPr>
        <w:t>年预算编制说明和</w:t>
      </w:r>
      <w:r>
        <w:rPr>
          <w:rFonts w:hint="eastAsia"/>
          <w:color w:val="000000" w:themeColor="text1"/>
          <w:highlight w:val="none"/>
          <w14:textFill>
            <w14:solidFill>
              <w14:schemeClr w14:val="tx1"/>
            </w14:solidFill>
          </w14:textFill>
        </w:rPr>
        <w:t>附件</w:t>
      </w:r>
      <w:r>
        <w:rPr>
          <w:color w:val="000000" w:themeColor="text1"/>
          <w:highlight w:val="none"/>
          <w14:textFill>
            <w14:solidFill>
              <w14:schemeClr w14:val="tx1"/>
            </w14:solidFill>
          </w14:textFill>
        </w:rPr>
        <w:t>、20</w:t>
      </w:r>
      <w:r>
        <w:rPr>
          <w:rFonts w:hint="eastAsia"/>
          <w:color w:val="000000" w:themeColor="text1"/>
          <w:highlight w:val="none"/>
          <w:lang w:val="en-US" w:eastAsia="zh-CN"/>
          <w14:textFill>
            <w14:solidFill>
              <w14:schemeClr w14:val="tx1"/>
            </w14:solidFill>
          </w14:textFill>
        </w:rPr>
        <w:t>21</w:t>
      </w:r>
      <w:r>
        <w:rPr>
          <w:color w:val="000000" w:themeColor="text1"/>
          <w:highlight w:val="none"/>
          <w14:textFill>
            <w14:solidFill>
              <w14:schemeClr w14:val="tx1"/>
            </w14:solidFill>
          </w14:textFill>
        </w:rPr>
        <w:t>年决算公开编制说明和</w:t>
      </w:r>
      <w:r>
        <w:rPr>
          <w:rFonts w:hint="eastAsia"/>
          <w:color w:val="000000" w:themeColor="text1"/>
          <w:highlight w:val="none"/>
          <w14:textFill>
            <w14:solidFill>
              <w14:schemeClr w14:val="tx1"/>
            </w14:solidFill>
          </w14:textFill>
        </w:rPr>
        <w:t>附件</w:t>
      </w:r>
      <w:r>
        <w:rPr>
          <w:color w:val="000000" w:themeColor="text1"/>
          <w:highlight w:val="none"/>
          <w14:textFill>
            <w14:solidFill>
              <w14:schemeClr w14:val="tx1"/>
            </w14:solidFill>
          </w14:textFill>
        </w:rPr>
        <w:t>已按规定公开</w:t>
      </w:r>
      <w:r>
        <w:rPr>
          <w:rFonts w:hint="eastAsia"/>
          <w:color w:val="000000" w:themeColor="text1"/>
          <w:highlight w:val="none"/>
          <w14:textFill>
            <w14:solidFill>
              <w14:schemeClr w14:val="tx1"/>
            </w14:solidFill>
          </w14:textFill>
        </w:rPr>
        <w:t>于</w:t>
      </w:r>
      <w:r>
        <w:rPr>
          <w:rFonts w:hint="eastAsia"/>
          <w:color w:val="000000" w:themeColor="text1"/>
          <w:highlight w:val="none"/>
          <w:lang w:val="en-US" w:eastAsia="zh-CN"/>
          <w14:textFill>
            <w14:solidFill>
              <w14:schemeClr w14:val="tx1"/>
            </w14:solidFill>
          </w14:textFill>
        </w:rPr>
        <w:t>遂宁市河东新区管理委员会政府</w:t>
      </w:r>
      <w:r>
        <w:rPr>
          <w:rFonts w:hint="eastAsia"/>
          <w:color w:val="000000" w:themeColor="text1"/>
          <w:highlight w:val="none"/>
          <w14:textFill>
            <w14:solidFill>
              <w14:schemeClr w14:val="tx1"/>
            </w14:solidFill>
          </w14:textFill>
        </w:rPr>
        <w:t>信息公开网</w:t>
      </w:r>
      <w:r>
        <w:rPr>
          <w:color w:val="000000" w:themeColor="text1"/>
          <w:highlight w:val="none"/>
          <w14:textFill>
            <w14:solidFill>
              <w14:schemeClr w14:val="tx1"/>
            </w14:solidFill>
          </w14:textFill>
        </w:rPr>
        <w:t>，20</w:t>
      </w:r>
      <w:r>
        <w:rPr>
          <w:rFonts w:hint="eastAsia"/>
          <w:color w:val="000000" w:themeColor="text1"/>
          <w:highlight w:val="none"/>
          <w:lang w:val="en-US" w:eastAsia="zh-CN"/>
          <w14:textFill>
            <w14:solidFill>
              <w14:schemeClr w14:val="tx1"/>
            </w14:solidFill>
          </w14:textFill>
        </w:rPr>
        <w:t>21</w:t>
      </w:r>
      <w:r>
        <w:rPr>
          <w:color w:val="000000" w:themeColor="text1"/>
          <w:highlight w:val="none"/>
          <w14:textFill>
            <w14:solidFill>
              <w14:schemeClr w14:val="tx1"/>
            </w14:solidFill>
          </w14:textFill>
        </w:rPr>
        <w:t>年度整体支出绩效自评报告已随决算</w:t>
      </w:r>
      <w:r>
        <w:rPr>
          <w:rFonts w:hint="eastAsia"/>
          <w:color w:val="000000" w:themeColor="text1"/>
          <w:highlight w:val="none"/>
          <w:lang w:val="en-US"/>
          <w14:textFill>
            <w14:solidFill>
              <w14:schemeClr w14:val="tx1"/>
            </w14:solidFill>
          </w14:textFill>
        </w:rPr>
        <w:t>同时</w:t>
      </w:r>
      <w:r>
        <w:rPr>
          <w:color w:val="000000" w:themeColor="text1"/>
          <w:highlight w:val="none"/>
          <w14:textFill>
            <w14:solidFill>
              <w14:schemeClr w14:val="tx1"/>
            </w14:solidFill>
          </w14:textFill>
        </w:rPr>
        <w:t>公开，符合</w:t>
      </w:r>
      <w:r>
        <w:rPr>
          <w:rFonts w:hint="eastAsia"/>
          <w:color w:val="000000" w:themeColor="text1"/>
          <w:highlight w:val="none"/>
          <w14:textFill>
            <w14:solidFill>
              <w14:schemeClr w14:val="tx1"/>
            </w14:solidFill>
          </w14:textFill>
        </w:rPr>
        <w:t>信息公开</w:t>
      </w:r>
      <w:r>
        <w:rPr>
          <w:color w:val="000000" w:themeColor="text1"/>
          <w:highlight w:val="none"/>
          <w14:textFill>
            <w14:solidFill>
              <w14:schemeClr w14:val="tx1"/>
            </w14:solidFill>
          </w14:textFill>
        </w:rPr>
        <w:t>相关</w:t>
      </w:r>
      <w:r>
        <w:rPr>
          <w:rFonts w:hint="eastAsia"/>
          <w:color w:val="000000" w:themeColor="text1"/>
          <w:highlight w:val="none"/>
          <w:lang w:val="en-US"/>
          <w14:textFill>
            <w14:solidFill>
              <w14:schemeClr w14:val="tx1"/>
            </w14:solidFill>
          </w14:textFill>
        </w:rPr>
        <w:t>法律法规</w:t>
      </w:r>
      <w:r>
        <w:rPr>
          <w:color w:val="000000" w:themeColor="text1"/>
          <w:highlight w:val="none"/>
          <w14:textFill>
            <w14:solidFill>
              <w14:schemeClr w14:val="tx1"/>
            </w14:solidFill>
          </w14:textFill>
        </w:rPr>
        <w:t>规定。</w:t>
      </w:r>
    </w:p>
    <w:p w14:paraId="20143225">
      <w:pPr>
        <w:pStyle w:val="4"/>
        <w:pageBreakBefore w:val="0"/>
        <w:wordWrap/>
        <w:overflowPunct/>
        <w:topLinePunct w:val="0"/>
        <w:bidi w:val="0"/>
        <w:spacing w:line="560" w:lineRule="exact"/>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综合上述分析，此项指标分值2分，实际得分2分。</w:t>
      </w:r>
    </w:p>
    <w:p w14:paraId="1E29D4C9">
      <w:pPr>
        <w:pStyle w:val="4"/>
        <w:pageBreakBefore w:val="0"/>
        <w:widowControl w:val="0"/>
        <w:numPr>
          <w:ilvl w:val="0"/>
          <w:numId w:val="0"/>
        </w:numPr>
        <w:kinsoku/>
        <w:wordWrap/>
        <w:overflowPunct/>
        <w:topLinePunct w:val="0"/>
        <w:autoSpaceDE/>
        <w:autoSpaceDN/>
        <w:bidi w:val="0"/>
        <w:spacing w:line="560" w:lineRule="exact"/>
        <w:ind w:leftChars="200"/>
        <w:textAlignment w:val="auto"/>
        <w:outlineLvl w:val="2"/>
        <w:rPr>
          <w:rFonts w:hint="default"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（2）整改反馈</w:t>
      </w:r>
    </w:p>
    <w:p w14:paraId="6CC55E52">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①结果整改</w:t>
      </w:r>
    </w:p>
    <w:p w14:paraId="5D1B8364">
      <w:pPr>
        <w:pStyle w:val="4"/>
        <w:pageBreakBefore w:val="0"/>
        <w:wordWrap/>
        <w:overflowPunct/>
        <w:topLinePunct w:val="0"/>
        <w:bidi w:val="0"/>
        <w:spacing w:line="560" w:lineRule="exact"/>
        <w:rPr>
          <w:rFonts w:hint="eastAsia" w:eastAsia="仿宋_GB2312"/>
          <w:highlight w:val="none"/>
          <w:lang w:eastAsia="zh-CN"/>
        </w:rPr>
      </w:pPr>
      <w:r>
        <w:rPr>
          <w:rFonts w:hint="eastAsia"/>
          <w:highlight w:val="none"/>
          <w:lang w:val="en-US"/>
        </w:rPr>
        <w:t>202</w:t>
      </w:r>
      <w:r>
        <w:rPr>
          <w:rFonts w:hint="eastAsia"/>
          <w:highlight w:val="none"/>
          <w:lang w:val="en-US" w:eastAsia="zh-CN"/>
        </w:rPr>
        <w:t>1</w:t>
      </w:r>
      <w:r>
        <w:rPr>
          <w:highlight w:val="none"/>
        </w:rPr>
        <w:t>年</w:t>
      </w:r>
      <w:r>
        <w:rPr>
          <w:rFonts w:hint="eastAsia"/>
          <w:highlight w:val="none"/>
          <w:lang w:val="en-US" w:eastAsia="zh-CN"/>
        </w:rPr>
        <w:t>洋渡实验学校</w:t>
      </w:r>
      <w:r>
        <w:rPr>
          <w:rFonts w:hint="eastAsia"/>
          <w:highlight w:val="none"/>
        </w:rPr>
        <w:t>针对绩效管理过程中（包括绩效目标核查、绩效监控核查和重点绩效评价）提出的问题进行了相应的整改，并将绩效管理结果用于完善政策、改进管理、预算挂钩等相关程序中</w:t>
      </w:r>
      <w:r>
        <w:rPr>
          <w:rFonts w:hint="eastAsia"/>
          <w:highlight w:val="none"/>
          <w:lang w:eastAsia="zh-CN"/>
        </w:rPr>
        <w:t>。</w:t>
      </w:r>
    </w:p>
    <w:p w14:paraId="2E78318D">
      <w:pPr>
        <w:pStyle w:val="4"/>
        <w:pageBreakBefore w:val="0"/>
        <w:wordWrap/>
        <w:overflowPunct/>
        <w:topLinePunct w:val="0"/>
        <w:bidi w:val="0"/>
        <w:spacing w:line="560" w:lineRule="exact"/>
        <w:rPr>
          <w:rFonts w:hint="eastAsia" w:ascii="Times New Roman" w:hAnsi="Times New Roman" w:cs="Times New Roman"/>
          <w:b/>
          <w:bCs/>
          <w:color w:val="auto"/>
          <w:szCs w:val="32"/>
          <w:lang w:val="en-US" w:eastAsia="zh-CN"/>
        </w:rPr>
      </w:pPr>
      <w:r>
        <w:rPr>
          <w:rFonts w:hint="eastAsia"/>
          <w:highlight w:val="none"/>
          <w:lang w:val="en-US" w:eastAsia="zh-CN"/>
        </w:rPr>
        <w:t>综合上述分析，</w:t>
      </w:r>
      <w:r>
        <w:rPr>
          <w:rFonts w:hint="eastAsia"/>
          <w:highlight w:val="none"/>
        </w:rPr>
        <w:t>根据评分标准，该项指标</w:t>
      </w:r>
      <w:r>
        <w:rPr>
          <w:rFonts w:hint="eastAsia"/>
          <w:highlight w:val="none"/>
          <w:lang w:val="en-US" w:eastAsia="zh-CN"/>
        </w:rPr>
        <w:t>分值4分，实际</w:t>
      </w:r>
      <w:r>
        <w:rPr>
          <w:rFonts w:hint="eastAsia"/>
          <w:highlight w:val="none"/>
        </w:rPr>
        <w:t>得4分</w:t>
      </w:r>
      <w:r>
        <w:rPr>
          <w:rFonts w:hint="eastAsia"/>
          <w:highlight w:val="none"/>
          <w:lang w:eastAsia="zh-CN"/>
        </w:rPr>
        <w:t>。</w:t>
      </w:r>
    </w:p>
    <w:p w14:paraId="4B7432CB">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②应用反馈</w:t>
      </w:r>
    </w:p>
    <w:p w14:paraId="252F8D40">
      <w:pPr>
        <w:pStyle w:val="4"/>
        <w:pageBreakBefore w:val="0"/>
        <w:wordWrap/>
        <w:overflowPunct/>
        <w:topLinePunct w:val="0"/>
        <w:bidi w:val="0"/>
        <w:spacing w:line="560" w:lineRule="exact"/>
        <w:rPr>
          <w:rFonts w:hint="eastAsia"/>
          <w:highlight w:val="none"/>
          <w:lang w:val="zh-CN"/>
        </w:rPr>
      </w:pPr>
      <w:r>
        <w:rPr>
          <w:rFonts w:hint="eastAsia"/>
          <w:highlight w:val="none"/>
          <w:lang w:val="en-US" w:eastAsia="zh-CN"/>
        </w:rPr>
        <w:t>洋渡实验学校</w:t>
      </w:r>
      <w:r>
        <w:rPr>
          <w:rFonts w:hint="eastAsia"/>
          <w:highlight w:val="none"/>
          <w:lang w:val="zh-CN"/>
        </w:rPr>
        <w:t>在202</w:t>
      </w:r>
      <w:r>
        <w:rPr>
          <w:rFonts w:hint="eastAsia"/>
          <w:highlight w:val="none"/>
          <w:lang w:val="en-US" w:eastAsia="zh-CN"/>
        </w:rPr>
        <w:t>2</w:t>
      </w:r>
      <w:r>
        <w:rPr>
          <w:rFonts w:hint="eastAsia"/>
          <w:highlight w:val="none"/>
          <w:lang w:val="zh-CN"/>
        </w:rPr>
        <w:t>年</w:t>
      </w:r>
      <w:r>
        <w:rPr>
          <w:rFonts w:hint="eastAsia"/>
          <w:highlight w:val="none"/>
          <w:lang w:val="en-US" w:eastAsia="zh-CN"/>
        </w:rPr>
        <w:t>6</w:t>
      </w:r>
      <w:r>
        <w:rPr>
          <w:rFonts w:hint="eastAsia"/>
          <w:highlight w:val="none"/>
          <w:lang w:val="zh-CN"/>
        </w:rPr>
        <w:t>月按规定将《遂宁市</w:t>
      </w:r>
      <w:r>
        <w:rPr>
          <w:rFonts w:hint="eastAsia"/>
          <w:highlight w:val="none"/>
          <w:lang w:val="en-US" w:eastAsia="zh-CN"/>
        </w:rPr>
        <w:t>洋渡实验学校</w:t>
      </w:r>
      <w:r>
        <w:rPr>
          <w:rFonts w:hint="eastAsia"/>
          <w:highlight w:val="none"/>
          <w:lang w:val="zh-CN"/>
        </w:rPr>
        <w:t>202</w:t>
      </w:r>
      <w:r>
        <w:rPr>
          <w:rFonts w:hint="eastAsia"/>
          <w:highlight w:val="none"/>
          <w:lang w:val="en-US" w:eastAsia="zh-CN"/>
        </w:rPr>
        <w:t>1</w:t>
      </w:r>
      <w:r>
        <w:rPr>
          <w:rFonts w:hint="eastAsia"/>
          <w:highlight w:val="none"/>
          <w:lang w:val="zh-CN"/>
        </w:rPr>
        <w:t>年部门整体支出绩效评价报告》提交遂宁市河东新区财政金融国资管理局财政监督和绩效管理股。</w:t>
      </w:r>
    </w:p>
    <w:p w14:paraId="4AF0A41F">
      <w:pPr>
        <w:pStyle w:val="4"/>
        <w:pageBreakBefore w:val="0"/>
        <w:wordWrap/>
        <w:overflowPunct/>
        <w:topLinePunct w:val="0"/>
        <w:bidi w:val="0"/>
        <w:spacing w:line="560" w:lineRule="exact"/>
        <w:rPr>
          <w:rFonts w:hint="default" w:ascii="Times New Roman" w:hAnsi="Times New Roman" w:cs="Times New Roman"/>
          <w:b/>
          <w:bCs/>
          <w:color w:val="auto"/>
          <w:szCs w:val="32"/>
          <w:lang w:val="en-US" w:eastAsia="zh-CN"/>
        </w:rPr>
      </w:pPr>
      <w:r>
        <w:rPr>
          <w:rFonts w:hint="eastAsia"/>
          <w:highlight w:val="none"/>
          <w:lang w:val="zh-CN"/>
        </w:rPr>
        <w:t>根据评分标准，该项指标</w:t>
      </w:r>
      <w:r>
        <w:rPr>
          <w:rFonts w:hint="eastAsia"/>
          <w:highlight w:val="none"/>
          <w:lang w:val="en-US" w:eastAsia="zh-CN"/>
        </w:rPr>
        <w:t>分值4分，实际</w:t>
      </w:r>
      <w:r>
        <w:rPr>
          <w:rFonts w:hint="eastAsia"/>
          <w:highlight w:val="none"/>
          <w:lang w:val="zh-CN"/>
        </w:rPr>
        <w:t>得4分。</w:t>
      </w:r>
    </w:p>
    <w:p w14:paraId="2BAD9122">
      <w:pPr>
        <w:pStyle w:val="4"/>
        <w:pageBreakBefore w:val="0"/>
        <w:widowControl w:val="0"/>
        <w:numPr>
          <w:ilvl w:val="-1"/>
          <w:numId w:val="0"/>
        </w:numPr>
        <w:kinsoku/>
        <w:wordWrap/>
        <w:overflowPunct/>
        <w:topLinePunct w:val="0"/>
        <w:autoSpaceDE/>
        <w:autoSpaceDN/>
        <w:bidi w:val="0"/>
        <w:spacing w:line="560" w:lineRule="exact"/>
        <w:ind w:left="0" w:leftChars="0" w:firstLine="643" w:firstLineChars="200"/>
        <w:textAlignment w:val="auto"/>
        <w:outlineLvl w:val="2"/>
        <w:rPr>
          <w:rFonts w:hint="default"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3.自评质量</w:t>
      </w:r>
    </w:p>
    <w:p w14:paraId="3394BFE8">
      <w:pPr>
        <w:pStyle w:val="4"/>
        <w:pageBreakBefore w:val="0"/>
        <w:widowControl w:val="0"/>
        <w:numPr>
          <w:ilvl w:val="0"/>
          <w:numId w:val="0"/>
        </w:numPr>
        <w:kinsoku/>
        <w:wordWrap/>
        <w:overflowPunct/>
        <w:topLinePunct w:val="0"/>
        <w:autoSpaceDE/>
        <w:autoSpaceDN/>
        <w:bidi w:val="0"/>
        <w:spacing w:line="560" w:lineRule="exact"/>
        <w:ind w:leftChars="200"/>
        <w:textAlignment w:val="auto"/>
        <w:outlineLvl w:val="2"/>
        <w:rPr>
          <w:rFonts w:hint="default"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（3）自评质量</w:t>
      </w:r>
    </w:p>
    <w:p w14:paraId="5CDD31E8">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①自评准确</w:t>
      </w:r>
    </w:p>
    <w:p w14:paraId="3967A12F">
      <w:pPr>
        <w:pStyle w:val="4"/>
        <w:pageBreakBefore w:val="0"/>
        <w:wordWrap/>
        <w:overflowPunct/>
        <w:topLinePunct w:val="0"/>
        <w:bidi w:val="0"/>
        <w:spacing w:line="560" w:lineRule="exact"/>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2021年</w:t>
      </w:r>
      <w:r>
        <w:rPr>
          <w:rFonts w:hint="eastAsia" w:cs="Times New Roman"/>
          <w:highlight w:val="none"/>
          <w:lang w:val="en-US" w:eastAsia="zh-CN"/>
        </w:rPr>
        <w:t>洋渡实验学校</w:t>
      </w:r>
      <w:r>
        <w:rPr>
          <w:rFonts w:hint="eastAsia" w:ascii="Times New Roman" w:hAnsi="Times New Roman" w:cs="Times New Roman"/>
          <w:highlight w:val="none"/>
          <w:lang w:val="en-US" w:eastAsia="zh-CN"/>
        </w:rPr>
        <w:t>自评为</w:t>
      </w:r>
      <w:r>
        <w:rPr>
          <w:rFonts w:hint="eastAsia" w:cs="Times New Roman"/>
          <w:highlight w:val="none"/>
          <w:lang w:val="en-US" w:eastAsia="zh-CN"/>
        </w:rPr>
        <w:t>90</w:t>
      </w:r>
      <w:r>
        <w:rPr>
          <w:rFonts w:hint="eastAsia" w:ascii="Times New Roman" w:hAnsi="Times New Roman" w:cs="Times New Roman"/>
          <w:highlight w:val="none"/>
          <w:lang w:val="en-US" w:eastAsia="zh-CN"/>
        </w:rPr>
        <w:t>分，评价组评分为</w:t>
      </w:r>
      <w:r>
        <w:rPr>
          <w:rFonts w:hint="eastAsia" w:cs="Times New Roman"/>
          <w:highlight w:val="none"/>
          <w:lang w:val="en-US" w:eastAsia="zh-CN"/>
        </w:rPr>
        <w:t>71.41</w:t>
      </w:r>
      <w:r>
        <w:rPr>
          <w:rFonts w:hint="eastAsia" w:ascii="Times New Roman" w:hAnsi="Times New Roman" w:cs="Times New Roman"/>
          <w:highlight w:val="none"/>
          <w:lang w:val="en-US" w:eastAsia="zh-CN"/>
        </w:rPr>
        <w:t>分，差异为20.66%，</w:t>
      </w:r>
      <w:r>
        <w:rPr>
          <w:rFonts w:hint="eastAsia" w:cs="Times New Roman"/>
          <w:highlight w:val="none"/>
          <w:lang w:val="en-US" w:eastAsia="zh-CN"/>
        </w:rPr>
        <w:t>差异超过20%，</w:t>
      </w:r>
      <w:r>
        <w:rPr>
          <w:rFonts w:hint="eastAsia" w:ascii="Times New Roman" w:hAnsi="Times New Roman" w:cs="Times New Roman"/>
          <w:highlight w:val="none"/>
          <w:lang w:val="en-US" w:eastAsia="zh-CN"/>
        </w:rPr>
        <w:t>自评质量较</w:t>
      </w:r>
      <w:r>
        <w:rPr>
          <w:rFonts w:hint="eastAsia" w:cs="Times New Roman"/>
          <w:highlight w:val="none"/>
          <w:lang w:val="en-US" w:eastAsia="zh-CN"/>
        </w:rPr>
        <w:t>差</w:t>
      </w:r>
      <w:r>
        <w:rPr>
          <w:rFonts w:hint="eastAsia" w:ascii="Times New Roman" w:hAnsi="Times New Roman" w:cs="Times New Roman"/>
          <w:highlight w:val="none"/>
          <w:lang w:val="en-US" w:eastAsia="zh-CN"/>
        </w:rPr>
        <w:t>。</w:t>
      </w:r>
    </w:p>
    <w:p w14:paraId="58A85CF6">
      <w:pPr>
        <w:pStyle w:val="4"/>
        <w:pageBreakBefore w:val="0"/>
        <w:wordWrap/>
        <w:overflowPunct/>
        <w:topLinePunct w:val="0"/>
        <w:bidi w:val="0"/>
        <w:spacing w:line="560" w:lineRule="exact"/>
        <w:rPr>
          <w:rFonts w:hint="eastAsia" w:cs="Times New Roman"/>
          <w:highlight w:val="none"/>
          <w:lang w:val="en-US" w:eastAsia="zh-CN"/>
        </w:rPr>
      </w:pPr>
      <w:r>
        <w:rPr>
          <w:rFonts w:hint="eastAsia" w:cs="Times New Roman"/>
          <w:highlight w:val="none"/>
          <w:lang w:val="en-US" w:eastAsia="zh-CN"/>
        </w:rPr>
        <w:t>综合上述分析，该项指标分值10分，实际得分0分，扣分10分。</w:t>
      </w:r>
    </w:p>
    <w:p w14:paraId="3ED665C5">
      <w:pPr>
        <w:pStyle w:val="3"/>
        <w:pageBreakBefore w:val="0"/>
        <w:numPr>
          <w:ilvl w:val="0"/>
          <w:numId w:val="0"/>
        </w:numPr>
        <w:kinsoku/>
        <w:wordWrap/>
        <w:overflowPunct/>
        <w:topLinePunct w:val="0"/>
        <w:autoSpaceDE/>
        <w:autoSpaceDN/>
        <w:bidi w:val="0"/>
        <w:spacing w:line="560" w:lineRule="exact"/>
        <w:ind w:left="0" w:leftChars="0" w:firstLine="640" w:firstLineChars="200"/>
        <w:outlineLvl w:val="0"/>
        <w:rPr>
          <w:rFonts w:hint="default"/>
          <w:color w:val="auto"/>
          <w:lang w:val="en-US"/>
        </w:rPr>
      </w:pPr>
      <w:bookmarkStart w:id="445" w:name="_Toc21811"/>
      <w:bookmarkStart w:id="446" w:name="_Toc31799"/>
      <w:bookmarkStart w:id="447" w:name="_Toc16103"/>
      <w:bookmarkStart w:id="448" w:name="_Toc7428"/>
      <w:bookmarkStart w:id="449" w:name="_Toc12778"/>
      <w:bookmarkStart w:id="450" w:name="_Toc18689"/>
      <w:bookmarkStart w:id="451" w:name="_Toc15749"/>
      <w:bookmarkStart w:id="452" w:name="_Toc6853"/>
      <w:r>
        <w:rPr>
          <w:rFonts w:hint="eastAsia"/>
          <w:color w:val="auto"/>
          <w:lang w:val="en-US" w:eastAsia="zh-CN"/>
        </w:rPr>
        <w:t>七、</w:t>
      </w:r>
      <w:r>
        <w:rPr>
          <w:rFonts w:hint="eastAsia"/>
          <w:color w:val="auto"/>
        </w:rPr>
        <w:t>存在问题</w:t>
      </w:r>
      <w:r>
        <w:rPr>
          <w:rFonts w:hint="eastAsia"/>
          <w:color w:val="auto"/>
          <w:lang w:val="en-US" w:eastAsia="zh-CN"/>
        </w:rPr>
        <w:t>及改进措施</w:t>
      </w:r>
      <w:bookmarkEnd w:id="445"/>
      <w:bookmarkEnd w:id="446"/>
      <w:bookmarkEnd w:id="447"/>
      <w:bookmarkEnd w:id="448"/>
      <w:bookmarkEnd w:id="449"/>
      <w:bookmarkEnd w:id="450"/>
      <w:bookmarkEnd w:id="451"/>
      <w:bookmarkEnd w:id="452"/>
    </w:p>
    <w:p w14:paraId="1CCD439D">
      <w:pPr>
        <w:pStyle w:val="4"/>
        <w:pageBreakBefore w:val="0"/>
        <w:widowControl w:val="0"/>
        <w:kinsoku/>
        <w:wordWrap/>
        <w:overflowPunct/>
        <w:topLinePunct w:val="0"/>
        <w:autoSpaceDE/>
        <w:autoSpaceDN/>
        <w:bidi w:val="0"/>
        <w:spacing w:line="560" w:lineRule="exact"/>
        <w:ind w:left="0" w:leftChars="0" w:firstLine="643" w:firstLineChars="200"/>
        <w:textAlignment w:val="auto"/>
        <w:outlineLvl w:val="1"/>
        <w:rPr>
          <w:rFonts w:hint="eastAsia" w:ascii="楷体" w:hAnsi="楷体" w:eastAsia="楷体" w:cs="楷体"/>
          <w:b/>
          <w:bCs/>
          <w:color w:val="auto"/>
          <w:lang w:val="en-US" w:eastAsia="zh-CN"/>
        </w:rPr>
      </w:pPr>
      <w:bookmarkStart w:id="453" w:name="_Toc29181"/>
      <w:bookmarkStart w:id="454" w:name="_Toc753"/>
      <w:bookmarkStart w:id="455" w:name="_Toc27864"/>
      <w:bookmarkStart w:id="456" w:name="_Toc24152"/>
      <w:bookmarkStart w:id="457" w:name="_Toc22188"/>
      <w:bookmarkStart w:id="458" w:name="_Toc26459"/>
      <w:bookmarkStart w:id="459" w:name="_Toc13356"/>
      <w:bookmarkStart w:id="460" w:name="_Toc15515"/>
      <w:r>
        <w:rPr>
          <w:rFonts w:hint="eastAsia" w:ascii="楷体" w:hAnsi="楷体" w:eastAsia="楷体" w:cs="楷体"/>
          <w:b/>
          <w:bCs/>
          <w:color w:val="auto"/>
          <w:lang w:val="en-US" w:eastAsia="zh-CN"/>
        </w:rPr>
        <w:t>（一）存在问题及原因分析</w:t>
      </w:r>
      <w:bookmarkEnd w:id="453"/>
      <w:bookmarkEnd w:id="454"/>
      <w:bookmarkEnd w:id="455"/>
      <w:bookmarkEnd w:id="456"/>
      <w:bookmarkEnd w:id="457"/>
      <w:bookmarkEnd w:id="458"/>
      <w:bookmarkEnd w:id="459"/>
      <w:bookmarkEnd w:id="460"/>
    </w:p>
    <w:p w14:paraId="777EC9DD">
      <w:pPr>
        <w:pStyle w:val="4"/>
        <w:pageBreakBefore w:val="0"/>
        <w:widowControl w:val="0"/>
        <w:numPr>
          <w:ilvl w:val="-1"/>
          <w:numId w:val="0"/>
        </w:numPr>
        <w:kinsoku/>
        <w:wordWrap/>
        <w:overflowPunct/>
        <w:topLinePunct w:val="0"/>
        <w:autoSpaceDE/>
        <w:autoSpaceDN/>
        <w:bidi w:val="0"/>
        <w:spacing w:line="560" w:lineRule="exact"/>
        <w:ind w:left="0" w:leftChars="0" w:firstLine="643" w:firstLineChars="200"/>
        <w:textAlignment w:val="auto"/>
        <w:outlineLvl w:val="2"/>
        <w:rPr>
          <w:rFonts w:hint="eastAsia"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1.</w:t>
      </w:r>
      <w:bookmarkStart w:id="461" w:name="_Toc8229"/>
      <w:r>
        <w:rPr>
          <w:rFonts w:hint="eastAsia" w:ascii="仿宋" w:hAnsi="仿宋" w:eastAsia="仿宋" w:cs="仿宋"/>
          <w:b/>
          <w:color w:val="auto"/>
          <w:kern w:val="2"/>
          <w:sz w:val="32"/>
          <w:szCs w:val="32"/>
          <w:lang w:val="en-US" w:eastAsia="zh-CN" w:bidi="ar-SA"/>
        </w:rPr>
        <w:t>部门年初预算编制不够科学准确</w:t>
      </w:r>
      <w:bookmarkEnd w:id="461"/>
    </w:p>
    <w:p w14:paraId="0952ABCB">
      <w:pPr>
        <w:pStyle w:val="4"/>
        <w:pageBreakBefore w:val="0"/>
        <w:wordWrap/>
        <w:overflowPunct/>
        <w:topLinePunct w:val="0"/>
        <w:bidi w:val="0"/>
        <w:spacing w:line="560" w:lineRule="exact"/>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经评价组核查，2021年洋渡实验学校年初预算数为1,522.14万元，调整预算</w:t>
      </w:r>
      <w:r>
        <w:rPr>
          <w:rFonts w:hint="eastAsia" w:cs="Times New Roman"/>
          <w:highlight w:val="none"/>
          <w:lang w:val="en-US" w:eastAsia="zh-CN"/>
        </w:rPr>
        <w:t>数</w:t>
      </w:r>
      <w:r>
        <w:rPr>
          <w:rFonts w:hint="eastAsia" w:ascii="Times New Roman" w:hAnsi="Times New Roman" w:cs="Times New Roman"/>
          <w:highlight w:val="none"/>
          <w:lang w:val="en-US" w:eastAsia="zh-CN"/>
        </w:rPr>
        <w:t>为1,726.24万元，预决算偏差程度为13.41%，偏差率较大，预算编制不</w:t>
      </w:r>
      <w:r>
        <w:rPr>
          <w:rFonts w:hint="eastAsia" w:cs="Times New Roman"/>
          <w:highlight w:val="none"/>
          <w:lang w:val="en-US" w:eastAsia="zh-CN"/>
        </w:rPr>
        <w:t>够</w:t>
      </w:r>
      <w:r>
        <w:rPr>
          <w:rFonts w:hint="eastAsia" w:ascii="Times New Roman" w:hAnsi="Times New Roman" w:cs="Times New Roman"/>
          <w:highlight w:val="none"/>
          <w:lang w:val="en-US" w:eastAsia="zh-CN"/>
        </w:rPr>
        <w:t>准确。</w:t>
      </w:r>
    </w:p>
    <w:p w14:paraId="629CF3D8">
      <w:pPr>
        <w:pStyle w:val="4"/>
        <w:pageBreakBefore w:val="0"/>
        <w:wordWrap/>
        <w:overflowPunct/>
        <w:topLinePunct w:val="0"/>
        <w:bidi w:val="0"/>
        <w:spacing w:line="560" w:lineRule="exact"/>
        <w:rPr>
          <w:rFonts w:hint="default" w:ascii="Times New Roman" w:hAnsi="Times New Roman" w:cs="Times New Roman"/>
          <w:highlight w:val="none"/>
          <w:lang w:val="en-US" w:eastAsia="zh-CN"/>
        </w:rPr>
      </w:pPr>
      <w:r>
        <w:rPr>
          <w:rFonts w:hint="eastAsia" w:ascii="Times New Roman" w:hAnsi="Times New Roman" w:cs="Times New Roman"/>
          <w:highlight w:val="none"/>
          <w:lang w:val="en-US" w:eastAsia="zh-CN"/>
        </w:rPr>
        <w:t>日常公用经费及项目支出中“办公费、印刷费、水费、电费、物业管理费”等科目年初预算数为91.77万元，决算数为81.37万元，预决算偏差程度为11.33%，偏差程度超过10%，公用经费支出控制有待加强</w:t>
      </w:r>
      <w:r>
        <w:rPr>
          <w:rFonts w:hint="eastAsia" w:cs="Times New Roman"/>
          <w:highlight w:val="none"/>
          <w:lang w:val="en-US" w:eastAsia="zh-CN"/>
        </w:rPr>
        <w:t>。</w:t>
      </w:r>
    </w:p>
    <w:p w14:paraId="2FCDD7D5">
      <w:pPr>
        <w:pStyle w:val="4"/>
        <w:pageBreakBefore w:val="0"/>
        <w:widowControl w:val="0"/>
        <w:numPr>
          <w:ilvl w:val="-1"/>
          <w:numId w:val="0"/>
        </w:numPr>
        <w:kinsoku/>
        <w:wordWrap/>
        <w:overflowPunct/>
        <w:topLinePunct w:val="0"/>
        <w:autoSpaceDE/>
        <w:autoSpaceDN/>
        <w:bidi w:val="0"/>
        <w:spacing w:line="560" w:lineRule="exact"/>
        <w:ind w:left="0" w:leftChars="0" w:firstLine="643" w:firstLineChars="200"/>
        <w:textAlignment w:val="auto"/>
        <w:outlineLvl w:val="2"/>
        <w:rPr>
          <w:rFonts w:hint="eastAsia"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2.部门整体支出自评准确率欠佳</w:t>
      </w:r>
    </w:p>
    <w:p w14:paraId="65423DE3">
      <w:pPr>
        <w:pStyle w:val="4"/>
        <w:pageBreakBefore w:val="0"/>
        <w:wordWrap/>
        <w:overflowPunct/>
        <w:topLinePunct w:val="0"/>
        <w:bidi w:val="0"/>
        <w:spacing w:line="560" w:lineRule="exact"/>
        <w:rPr>
          <w:rFonts w:hint="eastAsia"/>
          <w:color w:val="000000" w:themeColor="text1"/>
          <w:highlight w:val="none"/>
          <w:lang w:val="en-US" w:eastAsia="zh-CN"/>
          <w14:textFill>
            <w14:solidFill>
              <w14:schemeClr w14:val="tx1"/>
            </w14:solidFill>
          </w14:textFill>
        </w:rPr>
      </w:pPr>
      <w:r>
        <w:rPr>
          <w:rFonts w:hint="eastAsia"/>
          <w:lang w:val="en-US" w:eastAsia="zh-CN"/>
        </w:rPr>
        <w:t>经评价组核查，</w:t>
      </w:r>
      <w:r>
        <w:rPr>
          <w:rFonts w:hint="eastAsia"/>
          <w:lang w:val="en-US"/>
        </w:rPr>
        <w:t>202</w:t>
      </w:r>
      <w:r>
        <w:rPr>
          <w:rFonts w:hint="eastAsia"/>
          <w:lang w:val="en-US" w:eastAsia="zh-CN"/>
        </w:rPr>
        <w:t>1</w:t>
      </w:r>
      <w:r>
        <w:rPr>
          <w:rFonts w:hint="eastAsia"/>
          <w:lang w:val="en-US"/>
        </w:rPr>
        <w:t>年</w:t>
      </w:r>
      <w:r>
        <w:rPr>
          <w:rFonts w:hint="eastAsia"/>
          <w:lang w:val="en-US" w:eastAsia="zh-CN"/>
        </w:rPr>
        <w:t>单位《遂宁市洋渡实验学校2021年部门整体支出绩效报告》自评得分90分，评价组评价得分71.41分，</w:t>
      </w:r>
      <w:r>
        <w:rPr>
          <w:rFonts w:hint="eastAsia"/>
          <w:lang w:val="en-US"/>
        </w:rPr>
        <w:t>部门整体支出自评得分与评价组抽查得分差异为20.66%</w:t>
      </w:r>
      <w:r>
        <w:rPr>
          <w:rFonts w:hint="eastAsia"/>
          <w:lang w:val="en-US" w:eastAsia="zh-CN"/>
        </w:rPr>
        <w:t>，评价差异超过20%，自评准确率有待加强</w:t>
      </w:r>
      <w:r>
        <w:rPr>
          <w:rFonts w:hint="eastAsia"/>
          <w:color w:val="000000" w:themeColor="text1"/>
          <w:highlight w:val="none"/>
          <w:lang w:val="en-US" w:eastAsia="zh-CN"/>
          <w14:textFill>
            <w14:solidFill>
              <w14:schemeClr w14:val="tx1"/>
            </w14:solidFill>
          </w14:textFill>
        </w:rPr>
        <w:t>。</w:t>
      </w:r>
    </w:p>
    <w:p w14:paraId="3593A0C6">
      <w:pPr>
        <w:pStyle w:val="4"/>
        <w:pageBreakBefore w:val="0"/>
        <w:widowControl w:val="0"/>
        <w:numPr>
          <w:ilvl w:val="-1"/>
          <w:numId w:val="0"/>
        </w:numPr>
        <w:kinsoku/>
        <w:wordWrap/>
        <w:overflowPunct/>
        <w:topLinePunct w:val="0"/>
        <w:autoSpaceDE/>
        <w:autoSpaceDN/>
        <w:bidi w:val="0"/>
        <w:spacing w:line="560" w:lineRule="exact"/>
        <w:ind w:left="0" w:leftChars="0" w:firstLine="643" w:firstLineChars="200"/>
        <w:textAlignment w:val="auto"/>
        <w:outlineLvl w:val="2"/>
        <w:rPr>
          <w:rFonts w:hint="default"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3.会计账务处理存在不规范等问题</w:t>
      </w:r>
    </w:p>
    <w:p w14:paraId="22C57432">
      <w:pPr>
        <w:pStyle w:val="4"/>
        <w:pageBreakBefore w:val="0"/>
        <w:wordWrap/>
        <w:overflowPunct/>
        <w:topLinePunct w:val="0"/>
        <w:bidi w:val="0"/>
        <w:spacing w:line="560" w:lineRule="exact"/>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经评价组核查，单位2021年凭证存在账务处理不规范等问题。</w:t>
      </w:r>
    </w:p>
    <w:p w14:paraId="5A4E4114">
      <w:pPr>
        <w:pStyle w:val="4"/>
        <w:pageBreakBefore w:val="0"/>
        <w:numPr>
          <w:ilvl w:val="0"/>
          <w:numId w:val="5"/>
        </w:numPr>
        <w:wordWrap/>
        <w:overflowPunct/>
        <w:topLinePunct w:val="0"/>
        <w:bidi w:val="0"/>
        <w:spacing w:line="560" w:lineRule="exact"/>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单位将学校购买护眼灯项目费用、购买宣传栏费用、购买消毒柜费用以及购买教师参考用教材费用等日常公用经费计入人员经费，涉及金额146,576.6元，涉及会计凭证有财记2021年4月第30号、2021年9月第2号、2021年9月第9号、2021年9月第14号、2021年11月第5号、2021年12月第5号；</w:t>
      </w:r>
    </w:p>
    <w:p w14:paraId="094C6509">
      <w:pPr>
        <w:pStyle w:val="4"/>
        <w:pageBreakBefore w:val="0"/>
        <w:numPr>
          <w:ilvl w:val="0"/>
          <w:numId w:val="5"/>
        </w:numPr>
        <w:wordWrap/>
        <w:overflowPunct/>
        <w:topLinePunct w:val="0"/>
        <w:bidi w:val="0"/>
        <w:spacing w:line="560" w:lineRule="exact"/>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单位通过取现金进行的经济事务未通过库存现金科目核算，涉及金额20,6249.00元，涉及会计凭证有财记2021年1月第12号、2021年6月第3号、2021年12月第37号。</w:t>
      </w:r>
    </w:p>
    <w:p w14:paraId="3D73FAE4">
      <w:pPr>
        <w:pStyle w:val="4"/>
        <w:pageBreakBefore w:val="0"/>
        <w:widowControl w:val="0"/>
        <w:kinsoku/>
        <w:wordWrap/>
        <w:overflowPunct/>
        <w:topLinePunct w:val="0"/>
        <w:autoSpaceDE/>
        <w:autoSpaceDN/>
        <w:bidi w:val="0"/>
        <w:spacing w:line="560" w:lineRule="exact"/>
        <w:ind w:left="0" w:leftChars="0" w:firstLine="643" w:firstLineChars="200"/>
        <w:textAlignment w:val="auto"/>
        <w:outlineLvl w:val="1"/>
        <w:rPr>
          <w:rFonts w:hint="eastAsia" w:ascii="楷体" w:hAnsi="楷体" w:eastAsia="楷体" w:cs="楷体"/>
          <w:b/>
          <w:bCs/>
          <w:color w:val="auto"/>
          <w:lang w:val="en-US" w:eastAsia="zh-CN"/>
        </w:rPr>
      </w:pPr>
      <w:bookmarkStart w:id="462" w:name="_Toc4625"/>
      <w:bookmarkStart w:id="463" w:name="_Toc22761"/>
      <w:bookmarkStart w:id="464" w:name="_Toc2095"/>
      <w:bookmarkStart w:id="465" w:name="_Toc12750"/>
      <w:bookmarkStart w:id="466" w:name="_Toc10317"/>
      <w:bookmarkStart w:id="467" w:name="_Toc15814"/>
      <w:bookmarkStart w:id="468" w:name="_Toc6673"/>
      <w:bookmarkStart w:id="469" w:name="_Toc20371"/>
      <w:r>
        <w:rPr>
          <w:rFonts w:hint="eastAsia" w:ascii="楷体" w:hAnsi="楷体" w:eastAsia="楷体" w:cs="楷体"/>
          <w:b/>
          <w:bCs/>
          <w:color w:val="auto"/>
          <w:lang w:eastAsia="zh-CN"/>
        </w:rPr>
        <w:t>（</w:t>
      </w:r>
      <w:r>
        <w:rPr>
          <w:rFonts w:hint="eastAsia" w:ascii="楷体" w:hAnsi="楷体" w:eastAsia="楷体" w:cs="楷体"/>
          <w:b/>
          <w:bCs/>
          <w:color w:val="auto"/>
          <w:lang w:val="en-US" w:eastAsia="zh-CN"/>
        </w:rPr>
        <w:t>二</w:t>
      </w:r>
      <w:r>
        <w:rPr>
          <w:rFonts w:hint="eastAsia" w:ascii="楷体" w:hAnsi="楷体" w:eastAsia="楷体" w:cs="楷体"/>
          <w:b/>
          <w:bCs/>
          <w:color w:val="auto"/>
          <w:lang w:eastAsia="zh-CN"/>
        </w:rPr>
        <w:t>）</w:t>
      </w:r>
      <w:r>
        <w:rPr>
          <w:rFonts w:hint="eastAsia" w:ascii="楷体" w:hAnsi="楷体" w:eastAsia="楷体" w:cs="楷体"/>
          <w:b/>
          <w:bCs/>
          <w:color w:val="auto"/>
          <w:lang w:val="en-US" w:eastAsia="zh-CN"/>
        </w:rPr>
        <w:t>改进方向和具体措施</w:t>
      </w:r>
      <w:bookmarkEnd w:id="462"/>
      <w:bookmarkEnd w:id="463"/>
      <w:bookmarkEnd w:id="464"/>
      <w:bookmarkEnd w:id="465"/>
      <w:bookmarkEnd w:id="466"/>
      <w:bookmarkEnd w:id="467"/>
      <w:bookmarkEnd w:id="468"/>
      <w:bookmarkEnd w:id="469"/>
    </w:p>
    <w:p w14:paraId="0E09A106">
      <w:pPr>
        <w:pageBreakBefore w:val="0"/>
        <w:kinsoku/>
        <w:wordWrap/>
        <w:overflowPunct/>
        <w:topLinePunct w:val="0"/>
        <w:autoSpaceDE/>
        <w:autoSpaceDN/>
        <w:bidi w:val="0"/>
        <w:adjustRightInd w:val="0"/>
        <w:snapToGrid/>
        <w:spacing w:line="560" w:lineRule="exact"/>
        <w:ind w:firstLine="643" w:firstLineChars="200"/>
        <w:outlineLvl w:val="2"/>
        <w:rPr>
          <w:rFonts w:hint="eastAsia" w:ascii="仿宋" w:hAnsi="仿宋" w:eastAsia="仿宋" w:cs="仿宋"/>
          <w:b/>
          <w:color w:val="auto"/>
          <w:sz w:val="32"/>
          <w:szCs w:val="32"/>
          <w:lang w:val="en-US" w:eastAsia="zh-CN"/>
        </w:rPr>
      </w:pPr>
      <w:bookmarkStart w:id="470" w:name="_Toc16278"/>
      <w:r>
        <w:rPr>
          <w:rFonts w:hint="eastAsia" w:ascii="仿宋" w:hAnsi="仿宋" w:eastAsia="仿宋" w:cs="仿宋"/>
          <w:b/>
          <w:color w:val="auto"/>
          <w:sz w:val="32"/>
          <w:szCs w:val="32"/>
          <w:lang w:val="en-US" w:eastAsia="zh-CN"/>
        </w:rPr>
        <w:t>1.科学测算部门预算经费，加强部门经费收支偏差控制</w:t>
      </w:r>
      <w:bookmarkEnd w:id="470"/>
    </w:p>
    <w:p w14:paraId="2CC0F0B4">
      <w:pPr>
        <w:pStyle w:val="4"/>
        <w:pageBreakBefore w:val="0"/>
        <w:widowControl w:val="0"/>
        <w:kinsoku/>
        <w:wordWrap/>
        <w:overflowPunct/>
        <w:topLinePunct w:val="0"/>
        <w:autoSpaceDE/>
        <w:autoSpaceDN/>
        <w:bidi w:val="0"/>
        <w:spacing w:line="560" w:lineRule="exact"/>
        <w:ind w:firstLine="640" w:firstLineChars="20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建议洋渡实验学校预算部门在下一年编制项目预算时，除参考上一年支出明细，应全面考虑编制的预算明细按，以免预算中子项目不发生支出或支出过高的情况，合理测算当年度资金的实际需要总额，切实提高财政预算编制合理性。</w:t>
      </w:r>
    </w:p>
    <w:p w14:paraId="7E41E04A">
      <w:pPr>
        <w:pageBreakBefore w:val="0"/>
        <w:kinsoku/>
        <w:wordWrap/>
        <w:overflowPunct/>
        <w:topLinePunct w:val="0"/>
        <w:autoSpaceDE/>
        <w:autoSpaceDN/>
        <w:bidi w:val="0"/>
        <w:adjustRightInd w:val="0"/>
        <w:snapToGrid/>
        <w:spacing w:line="560" w:lineRule="exact"/>
        <w:ind w:firstLine="643" w:firstLineChars="200"/>
        <w:outlineLvl w:val="2"/>
        <w:rPr>
          <w:rFonts w:hint="eastAsia" w:ascii="仿宋" w:hAnsi="仿宋" w:eastAsia="仿宋" w:cs="仿宋"/>
          <w:b/>
          <w:color w:val="auto"/>
          <w:sz w:val="32"/>
          <w:szCs w:val="32"/>
          <w:lang w:val="en-US" w:eastAsia="zh-CN"/>
        </w:rPr>
      </w:pPr>
      <w:r>
        <w:rPr>
          <w:rFonts w:hint="eastAsia" w:ascii="仿宋" w:hAnsi="仿宋" w:eastAsia="仿宋" w:cs="仿宋"/>
          <w:b/>
          <w:color w:val="auto"/>
          <w:sz w:val="32"/>
          <w:szCs w:val="32"/>
          <w:lang w:val="en-US" w:eastAsia="zh-CN"/>
        </w:rPr>
        <w:t>2.加强单位内部控制缺陷认定，提高自评质量</w:t>
      </w:r>
    </w:p>
    <w:p w14:paraId="613E6A7E">
      <w:pPr>
        <w:pStyle w:val="4"/>
        <w:pageBreakBefore w:val="0"/>
        <w:widowControl w:val="0"/>
        <w:kinsoku/>
        <w:wordWrap/>
        <w:overflowPunct/>
        <w:topLinePunct w:val="0"/>
        <w:autoSpaceDE/>
        <w:autoSpaceDN/>
        <w:bidi w:val="0"/>
        <w:spacing w:line="560" w:lineRule="exact"/>
        <w:ind w:firstLine="640" w:firstLineChars="200"/>
        <w:textAlignment w:val="auto"/>
        <w:rPr>
          <w:rFonts w:hint="eastAsia"/>
          <w:color w:val="auto"/>
          <w:lang w:val="en-US" w:eastAsia="zh-CN"/>
        </w:rPr>
      </w:pPr>
      <w:r>
        <w:rPr>
          <w:rFonts w:hint="eastAsia"/>
          <w:color w:val="auto"/>
        </w:rPr>
        <w:t>建议</w:t>
      </w:r>
      <w:r>
        <w:rPr>
          <w:rFonts w:hint="eastAsia"/>
          <w:color w:val="auto"/>
          <w:lang w:val="en-US" w:eastAsia="zh-CN"/>
        </w:rPr>
        <w:t>洋渡实验学校在开展部门整体支出自我评价时，合理制定评价工作方案，</w:t>
      </w:r>
      <w:r>
        <w:rPr>
          <w:rFonts w:hint="eastAsia"/>
          <w:color w:val="auto"/>
          <w:lang w:val="en-US"/>
        </w:rPr>
        <w:t>挑选具备独立性、业务胜任能力和职业道德素养的评价人员实施评价</w:t>
      </w:r>
      <w:r>
        <w:rPr>
          <w:rFonts w:hint="eastAsia"/>
          <w:color w:val="auto"/>
          <w:lang w:val="en-US" w:eastAsia="zh-CN"/>
        </w:rPr>
        <w:t>，</w:t>
      </w:r>
      <w:r>
        <w:rPr>
          <w:rFonts w:hint="eastAsia"/>
          <w:color w:val="auto"/>
          <w:lang w:val="en-US"/>
        </w:rPr>
        <w:t>确定检查评价范围和重点</w:t>
      </w:r>
      <w:r>
        <w:rPr>
          <w:rFonts w:hint="eastAsia"/>
          <w:color w:val="auto"/>
          <w:lang w:val="en-US" w:eastAsia="zh-CN"/>
        </w:rPr>
        <w:t>，</w:t>
      </w:r>
      <w:r>
        <w:rPr>
          <w:rFonts w:hint="eastAsia"/>
          <w:color w:val="auto"/>
          <w:lang w:val="en-US"/>
        </w:rPr>
        <w:t>综合运用各种评价方法对内部控制设计与运行的有效性进行现场检查测试，按要求填写工作底稿、记录相关测试结果，并对发现的内部控制缺陷进行初步认定</w:t>
      </w:r>
      <w:r>
        <w:rPr>
          <w:rFonts w:hint="eastAsia"/>
          <w:color w:val="auto"/>
          <w:lang w:val="en-US" w:eastAsia="zh-CN"/>
        </w:rPr>
        <w:t>，保障自我评价工作实施质量，提高自我评价准确性。</w:t>
      </w:r>
    </w:p>
    <w:p w14:paraId="2FD00546">
      <w:pPr>
        <w:pageBreakBefore w:val="0"/>
        <w:kinsoku/>
        <w:wordWrap/>
        <w:overflowPunct/>
        <w:topLinePunct w:val="0"/>
        <w:autoSpaceDE/>
        <w:autoSpaceDN/>
        <w:bidi w:val="0"/>
        <w:adjustRightInd w:val="0"/>
        <w:snapToGrid/>
        <w:spacing w:line="560" w:lineRule="exact"/>
        <w:ind w:firstLine="643" w:firstLineChars="200"/>
        <w:outlineLvl w:val="2"/>
        <w:rPr>
          <w:rFonts w:hint="default" w:ascii="仿宋" w:hAnsi="仿宋" w:eastAsia="仿宋" w:cs="仿宋"/>
          <w:b/>
          <w:color w:val="auto"/>
          <w:sz w:val="32"/>
          <w:szCs w:val="32"/>
          <w:lang w:val="en-US" w:eastAsia="zh-CN"/>
        </w:rPr>
      </w:pPr>
      <w:r>
        <w:rPr>
          <w:rFonts w:hint="eastAsia" w:ascii="仿宋" w:hAnsi="仿宋" w:eastAsia="仿宋" w:cs="仿宋"/>
          <w:b/>
          <w:color w:val="auto"/>
          <w:sz w:val="32"/>
          <w:szCs w:val="32"/>
          <w:lang w:val="en-US" w:eastAsia="zh-CN"/>
        </w:rPr>
        <w:t>3.规范日常会计基础工作</w:t>
      </w:r>
    </w:p>
    <w:p w14:paraId="673F267E">
      <w:pPr>
        <w:pStyle w:val="4"/>
        <w:pageBreakBefore w:val="0"/>
        <w:widowControl w:val="0"/>
        <w:kinsoku/>
        <w:wordWrap/>
        <w:overflowPunct/>
        <w:topLinePunct w:val="0"/>
        <w:autoSpaceDE/>
        <w:autoSpaceDN/>
        <w:bidi w:val="0"/>
        <w:spacing w:line="560" w:lineRule="exact"/>
        <w:ind w:firstLine="640" w:firstLineChars="200"/>
        <w:textAlignment w:val="auto"/>
        <w:rPr>
          <w:rFonts w:hint="eastAsia"/>
          <w:color w:val="auto"/>
          <w:lang w:val="en-US" w:eastAsia="zh-CN"/>
        </w:rPr>
        <w:sectPr>
          <w:pgSz w:w="11906" w:h="16838"/>
          <w:pgMar w:top="1440" w:right="1489" w:bottom="1440" w:left="1797" w:header="851" w:footer="992" w:gutter="0"/>
          <w:pgNumType w:fmt="decimal"/>
          <w:cols w:space="425" w:num="1"/>
          <w:docGrid w:type="lines" w:linePitch="312" w:charSpace="0"/>
        </w:sectPr>
      </w:pPr>
      <w:r>
        <w:rPr>
          <w:rFonts w:hint="eastAsia"/>
          <w:color w:val="auto"/>
          <w:lang w:val="en-US" w:eastAsia="zh-CN"/>
        </w:rPr>
        <w:t>建议单位加强规范会计人员日常账务处理基础工作，会计人员要充分认识会计基础工作的重要性，认真学习《会计基础工作规范》和《会计法》的各项规定；加强会计核算，如原始凭证的格式、内容、填制方法、审核程序等符合制度规定的要求;记账凭证内容、填制方法、所附原始凭证、更正错误的方法等符合会计制度要求，并经有关责任人员签章；加大监督检查力度，如将会计基础管理工作列入日常及专项检查的重要内容，实行连带责任追究制，增强责任意识，使会计工作更加规范化、制度化管理。</w:t>
      </w:r>
    </w:p>
    <w:p w14:paraId="15710873">
      <w:pPr>
        <w:pStyle w:val="4"/>
        <w:pageBreakBefore w:val="0"/>
        <w:widowControl w:val="0"/>
        <w:numPr>
          <w:ilvl w:val="0"/>
          <w:numId w:val="0"/>
        </w:numPr>
        <w:kinsoku/>
        <w:wordWrap/>
        <w:overflowPunct/>
        <w:topLinePunct w:val="0"/>
        <w:autoSpaceDE/>
        <w:autoSpaceDN/>
        <w:bidi w:val="0"/>
        <w:spacing w:line="560" w:lineRule="exact"/>
        <w:ind w:firstLine="643" w:firstLineChars="200"/>
        <w:textAlignment w:val="auto"/>
        <w:outlineLvl w:val="0"/>
        <w:rPr>
          <w:rFonts w:hint="default" w:ascii="仿宋" w:hAnsi="仿宋" w:eastAsia="仿宋" w:cs="仿宋"/>
          <w:b/>
          <w:color w:val="auto"/>
          <w:kern w:val="2"/>
          <w:sz w:val="32"/>
          <w:szCs w:val="32"/>
          <w:lang w:val="en-US" w:eastAsia="zh-CN" w:bidi="ar-SA"/>
        </w:rPr>
      </w:pPr>
      <w:bookmarkStart w:id="471" w:name="_Toc32701"/>
      <w:bookmarkStart w:id="472" w:name="_Toc9"/>
      <w:bookmarkStart w:id="473" w:name="_Toc14716"/>
      <w:bookmarkStart w:id="474" w:name="_Toc30009"/>
      <w:bookmarkStart w:id="475" w:name="_Toc22919"/>
      <w:bookmarkStart w:id="476" w:name="_Toc29295"/>
      <w:bookmarkStart w:id="477" w:name="_Toc6541"/>
      <w:bookmarkStart w:id="478" w:name="_Toc17093"/>
      <w:r>
        <w:rPr>
          <w:rFonts w:hint="eastAsia" w:ascii="仿宋" w:hAnsi="仿宋" w:eastAsia="仿宋" w:cs="仿宋"/>
          <w:b/>
          <w:color w:val="auto"/>
          <w:kern w:val="2"/>
          <w:sz w:val="32"/>
          <w:szCs w:val="32"/>
          <w:lang w:val="en-US" w:eastAsia="zh-CN" w:bidi="ar-SA"/>
        </w:rPr>
        <w:t>附件1</w:t>
      </w:r>
      <w:r>
        <w:rPr>
          <w:rFonts w:hint="default" w:ascii="方正小标宋_GBK" w:hAnsi="方正小标宋_GBK" w:eastAsia="方正小标宋_GBK" w:cs="方正小标宋_GBK"/>
          <w:i w:val="0"/>
          <w:iCs w:val="0"/>
          <w:color w:val="auto"/>
          <w:kern w:val="0"/>
          <w:sz w:val="32"/>
          <w:szCs w:val="32"/>
          <w:u w:val="none"/>
          <w:lang w:val="en-US" w:eastAsia="zh-CN" w:bidi="ar"/>
        </w:rPr>
        <w:t>部门整体支出绩效评价指标体系</w:t>
      </w:r>
      <w:bookmarkEnd w:id="471"/>
      <w:bookmarkEnd w:id="472"/>
      <w:bookmarkEnd w:id="473"/>
      <w:bookmarkEnd w:id="474"/>
      <w:bookmarkEnd w:id="475"/>
      <w:bookmarkEnd w:id="476"/>
      <w:bookmarkEnd w:id="477"/>
      <w:bookmarkEnd w:id="478"/>
    </w:p>
    <w:tbl>
      <w:tblPr>
        <w:tblStyle w:val="10"/>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89"/>
        <w:gridCol w:w="1040"/>
        <w:gridCol w:w="975"/>
        <w:gridCol w:w="4570"/>
        <w:gridCol w:w="828"/>
        <w:gridCol w:w="1202"/>
        <w:gridCol w:w="4567"/>
      </w:tblGrid>
      <w:tr w14:paraId="2933DE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690" w:hRule="atLeast"/>
          <w:tblHeader/>
        </w:trPr>
        <w:tc>
          <w:tcPr>
            <w:tcW w:w="106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181503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绩效指标</w:t>
            </w:r>
          </w:p>
        </w:tc>
        <w:tc>
          <w:tcPr>
            <w:tcW w:w="16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75F96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指标解释</w:t>
            </w:r>
          </w:p>
        </w:tc>
        <w:tc>
          <w:tcPr>
            <w:tcW w:w="29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1FAF8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分值</w:t>
            </w:r>
          </w:p>
        </w:tc>
        <w:tc>
          <w:tcPr>
            <w:tcW w:w="4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8DA89A">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得分</w:t>
            </w:r>
          </w:p>
        </w:tc>
        <w:tc>
          <w:tcPr>
            <w:tcW w:w="16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C65C11">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扣分说明</w:t>
            </w:r>
          </w:p>
        </w:tc>
      </w:tr>
      <w:tr w14:paraId="5D2F6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5" w:hRule="atLeast"/>
          <w:tblHeader/>
        </w:trPr>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2F280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一级指标</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CDD540">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二级指标</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2071B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三级指标</w:t>
            </w:r>
          </w:p>
        </w:tc>
        <w:tc>
          <w:tcPr>
            <w:tcW w:w="16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C4CF8C">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2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3ED571">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4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5F675E">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16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89ED08">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r>
      <w:tr w14:paraId="0B4E8B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71" w:hRule="atLeast"/>
        </w:trPr>
        <w:tc>
          <w:tcPr>
            <w:tcW w:w="34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7F411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部门预算管理（80分）</w:t>
            </w:r>
          </w:p>
        </w:tc>
        <w:tc>
          <w:tcPr>
            <w:tcW w:w="36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DBB46E">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预算编制（30分）</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781F50">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目标制定</w:t>
            </w:r>
          </w:p>
        </w:tc>
        <w:tc>
          <w:tcPr>
            <w:tcW w:w="1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C5AAC3">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评价部门绩效目标是否要素完整、细化量化。</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E8DEC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730218">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8F03FF">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1B8D10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77" w:hRule="atLeast"/>
        </w:trPr>
        <w:tc>
          <w:tcPr>
            <w:tcW w:w="34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9B1432">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3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733D15">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62AF7E">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目标实现</w:t>
            </w:r>
          </w:p>
        </w:tc>
        <w:tc>
          <w:tcPr>
            <w:tcW w:w="1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2C9F4E">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评价部门绩效目标实际实现程度与预期目标的偏离度。</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4CE18A">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972F97">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6.67</w:t>
            </w:r>
          </w:p>
        </w:tc>
        <w:tc>
          <w:tcPr>
            <w:tcW w:w="1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3512BA">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评价选取预算项目3个，其中购买学校课桌椅预算1000套，实际购买660套，偏离预算340套，偏离度为34%，大于30%。该项指标扣分为1/3*10=3.33分</w:t>
            </w:r>
          </w:p>
        </w:tc>
      </w:tr>
      <w:tr w14:paraId="6AB553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07" w:hRule="atLeast"/>
        </w:trPr>
        <w:tc>
          <w:tcPr>
            <w:tcW w:w="34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09A088">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3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93E137">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D1A50E">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编制准确</w:t>
            </w:r>
          </w:p>
        </w:tc>
        <w:tc>
          <w:tcPr>
            <w:tcW w:w="1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D94F5C">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评价部门年初预算编制是否科学准确。</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F160F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A7E00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2804BC">
            <w:pPr>
              <w:keepNext w:val="0"/>
              <w:keepLines w:val="0"/>
              <w:pageBreakBefore w:val="0"/>
              <w:widowControl/>
              <w:suppressLineNumbers w:val="0"/>
              <w:wordWrap/>
              <w:overflowPunct/>
              <w:topLinePunct w:val="0"/>
              <w:bidi w:val="0"/>
              <w:spacing w:line="560" w:lineRule="exact"/>
              <w:jc w:val="left"/>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全年预算调剂金额2041092.26/年初部门预算数15221351.58=0.13＞0.1，指标扣分10分</w:t>
            </w:r>
          </w:p>
        </w:tc>
      </w:tr>
      <w:tr w14:paraId="5F6CE6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6" w:hRule="atLeast"/>
        </w:trPr>
        <w:tc>
          <w:tcPr>
            <w:tcW w:w="34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D92373">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36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CAB42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预算执行（30分）</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0F8D5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支出控制</w:t>
            </w:r>
          </w:p>
        </w:tc>
        <w:tc>
          <w:tcPr>
            <w:tcW w:w="1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BC042F">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部门公用经费及非定额公用支出控制情况。</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E0907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11AA9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1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32BB5B">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部门日常公用经费年初预算917758元，决算数为813744元，偏离值为104013元，预算偏差程度为11.33%，在10%-20%之间，扣5分</w:t>
            </w:r>
          </w:p>
        </w:tc>
      </w:tr>
      <w:tr w14:paraId="6E1F8A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8" w:hRule="atLeast"/>
        </w:trPr>
        <w:tc>
          <w:tcPr>
            <w:tcW w:w="34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71B928">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3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18C6C8">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C5FCC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动态调整</w:t>
            </w:r>
          </w:p>
        </w:tc>
        <w:tc>
          <w:tcPr>
            <w:tcW w:w="1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560C04">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评价部门开展绩效运行监控后，将绩效监控结果应用到预算调整的情况。</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0AD05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9ECB8E">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EA58F9">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254C2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8" w:hRule="atLeast"/>
        </w:trPr>
        <w:tc>
          <w:tcPr>
            <w:tcW w:w="34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C1EB51">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3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F02D35">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0432FB">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执行进度</w:t>
            </w:r>
          </w:p>
        </w:tc>
        <w:tc>
          <w:tcPr>
            <w:tcW w:w="1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D1AD19">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评价部门在6、9、11月的预算执行情况。</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0C9B8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A42862">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9.94</w:t>
            </w:r>
          </w:p>
        </w:tc>
        <w:tc>
          <w:tcPr>
            <w:tcW w:w="1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DD4653">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11月实际支出进度为80.74%，指标扣分=3-80.74%/82.5%*3=0.06。</w:t>
            </w:r>
          </w:p>
        </w:tc>
      </w:tr>
      <w:tr w14:paraId="423A7C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34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7C297C">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36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56619A">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完成结果（20分）</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BD06D2">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预算完成</w:t>
            </w:r>
          </w:p>
        </w:tc>
        <w:tc>
          <w:tcPr>
            <w:tcW w:w="1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92F7D7">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评价部门预算项目年终预算执行情况。</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E2208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CE9F85">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9.8</w:t>
            </w:r>
          </w:p>
        </w:tc>
        <w:tc>
          <w:tcPr>
            <w:tcW w:w="1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AD8405">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指标扣分=10分*（1-支付决算数=16912383.14元/预算调整数17262443.84元）=0.2</w:t>
            </w:r>
          </w:p>
        </w:tc>
      </w:tr>
      <w:tr w14:paraId="2B566D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34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81915D">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3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4CFF6A">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14121A">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违规记录</w:t>
            </w:r>
          </w:p>
        </w:tc>
        <w:tc>
          <w:tcPr>
            <w:tcW w:w="1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C7920B">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根据审计监督、财政检查结果反映部门上一年度部门预算管理是否合规。</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1D21AB">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C980C6">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C17E5D">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487D3E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64" w:hRule="atLeast"/>
        </w:trPr>
        <w:tc>
          <w:tcPr>
            <w:tcW w:w="34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405866">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绩效结果应用（10分）</w:t>
            </w:r>
          </w:p>
        </w:tc>
        <w:tc>
          <w:tcPr>
            <w:tcW w:w="367" w:type="pct"/>
            <w:tcBorders>
              <w:top w:val="nil"/>
              <w:left w:val="single" w:color="000000" w:sz="4" w:space="0"/>
              <w:bottom w:val="single" w:color="000000" w:sz="4" w:space="0"/>
              <w:right w:val="single" w:color="000000" w:sz="4" w:space="0"/>
            </w:tcBorders>
            <w:shd w:val="clear" w:color="auto" w:fill="auto"/>
            <w:vAlign w:val="center"/>
          </w:tcPr>
          <w:p w14:paraId="02C2F648">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信息公开（2分）</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B45545">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自评公开</w:t>
            </w:r>
          </w:p>
        </w:tc>
        <w:tc>
          <w:tcPr>
            <w:tcW w:w="1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2C39BC">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评价部门是否按要求将部门整体绩效自评情况和自行组织的评价情况向社会公开。</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AD978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0DA290">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041084">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07083D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2" w:hRule="atLeast"/>
        </w:trPr>
        <w:tc>
          <w:tcPr>
            <w:tcW w:w="34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C04D57">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36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D7A7DB">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整改反馈（8分）</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8E5C22">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结果整改</w:t>
            </w:r>
          </w:p>
        </w:tc>
        <w:tc>
          <w:tcPr>
            <w:tcW w:w="1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E835DB">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评价部门根据绩效管理结果整改问题、完善政策、改进管理的情况。</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E08386">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5A7BC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EFB339">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01E433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5" w:hRule="atLeast"/>
        </w:trPr>
        <w:tc>
          <w:tcPr>
            <w:tcW w:w="34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1892D9">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3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31A45B">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76F4E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应用反馈</w:t>
            </w:r>
          </w:p>
        </w:tc>
        <w:tc>
          <w:tcPr>
            <w:tcW w:w="1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5549D3">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评价部门按要求及时向财政部门反馈结果应用情况。</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238F75">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A36BF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9075F0">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0D9BCF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5" w:hRule="atLeast"/>
        </w:trPr>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496D6D">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自评质量（10分）</w:t>
            </w:r>
          </w:p>
        </w:tc>
        <w:tc>
          <w:tcPr>
            <w:tcW w:w="367" w:type="pct"/>
            <w:tcBorders>
              <w:top w:val="nil"/>
              <w:left w:val="single" w:color="000000" w:sz="4" w:space="0"/>
              <w:bottom w:val="single" w:color="000000" w:sz="4" w:space="0"/>
              <w:right w:val="single" w:color="000000" w:sz="4" w:space="0"/>
            </w:tcBorders>
            <w:shd w:val="clear" w:color="auto" w:fill="auto"/>
            <w:vAlign w:val="center"/>
          </w:tcPr>
          <w:p w14:paraId="3269ED1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自评质量（10分）</w:t>
            </w:r>
          </w:p>
        </w:tc>
        <w:tc>
          <w:tcPr>
            <w:tcW w:w="342" w:type="pct"/>
            <w:tcBorders>
              <w:top w:val="nil"/>
              <w:left w:val="single" w:color="000000" w:sz="4" w:space="0"/>
              <w:bottom w:val="single" w:color="000000" w:sz="4" w:space="0"/>
              <w:right w:val="single" w:color="000000" w:sz="4" w:space="0"/>
            </w:tcBorders>
            <w:shd w:val="clear" w:color="auto" w:fill="auto"/>
            <w:vAlign w:val="center"/>
          </w:tcPr>
          <w:p w14:paraId="71602A82">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自评准确</w:t>
            </w:r>
          </w:p>
        </w:tc>
        <w:tc>
          <w:tcPr>
            <w:tcW w:w="1611" w:type="pct"/>
            <w:tcBorders>
              <w:top w:val="nil"/>
              <w:left w:val="single" w:color="000000" w:sz="4" w:space="0"/>
              <w:bottom w:val="single" w:color="000000" w:sz="4" w:space="0"/>
              <w:right w:val="single" w:color="auto" w:sz="4" w:space="0"/>
            </w:tcBorders>
            <w:shd w:val="clear" w:color="auto" w:fill="auto"/>
            <w:vAlign w:val="center"/>
          </w:tcPr>
          <w:p w14:paraId="1B5F9B3B">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评价部门整体支出自评准确率。</w:t>
            </w:r>
          </w:p>
        </w:tc>
        <w:tc>
          <w:tcPr>
            <w:tcW w:w="292" w:type="pct"/>
            <w:tcBorders>
              <w:top w:val="nil"/>
              <w:left w:val="single" w:color="auto" w:sz="4" w:space="0"/>
              <w:bottom w:val="single" w:color="000000" w:sz="4" w:space="0"/>
              <w:right w:val="single" w:color="auto" w:sz="4" w:space="0"/>
            </w:tcBorders>
            <w:shd w:val="clear" w:color="auto" w:fill="auto"/>
            <w:vAlign w:val="center"/>
          </w:tcPr>
          <w:p w14:paraId="274E24F7">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424" w:type="pct"/>
            <w:tcBorders>
              <w:top w:val="nil"/>
              <w:left w:val="single" w:color="auto" w:sz="4" w:space="0"/>
              <w:bottom w:val="single" w:color="000000" w:sz="4" w:space="0"/>
              <w:right w:val="single" w:color="auto" w:sz="4" w:space="0"/>
            </w:tcBorders>
            <w:shd w:val="clear" w:color="auto" w:fill="auto"/>
            <w:vAlign w:val="center"/>
          </w:tcPr>
          <w:p w14:paraId="585ECA4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611" w:type="pct"/>
            <w:tcBorders>
              <w:top w:val="nil"/>
              <w:left w:val="single" w:color="000000" w:sz="4" w:space="0"/>
              <w:bottom w:val="single" w:color="000000" w:sz="4" w:space="0"/>
              <w:right w:val="single" w:color="000000" w:sz="4" w:space="0"/>
            </w:tcBorders>
            <w:shd w:val="clear" w:color="auto" w:fill="auto"/>
            <w:vAlign w:val="center"/>
          </w:tcPr>
          <w:p w14:paraId="4B2C63AC">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自评得分，评价组评分71.41，得分差异为20.66%，差异在20%以上，扣10分。</w:t>
            </w:r>
          </w:p>
        </w:tc>
      </w:tr>
      <w:tr w14:paraId="7414B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2672" w:type="pct"/>
            <w:gridSpan w:val="4"/>
            <w:tcBorders>
              <w:top w:val="single" w:color="000000" w:sz="4" w:space="0"/>
              <w:left w:val="single" w:color="auto" w:sz="4" w:space="0"/>
              <w:bottom w:val="single" w:color="000000" w:sz="4" w:space="0"/>
              <w:right w:val="single" w:color="auto" w:sz="4" w:space="0"/>
            </w:tcBorders>
            <w:shd w:val="clear" w:color="auto" w:fill="auto"/>
            <w:vAlign w:val="center"/>
          </w:tcPr>
          <w:p w14:paraId="04D3D3C0">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合计</w:t>
            </w:r>
          </w:p>
        </w:tc>
        <w:tc>
          <w:tcPr>
            <w:tcW w:w="292" w:type="pct"/>
            <w:tcBorders>
              <w:top w:val="single" w:color="000000" w:sz="4" w:space="0"/>
              <w:left w:val="single" w:color="auto" w:sz="4" w:space="0"/>
              <w:bottom w:val="single" w:color="000000" w:sz="4" w:space="0"/>
              <w:right w:val="single" w:color="auto" w:sz="4" w:space="0"/>
            </w:tcBorders>
            <w:shd w:val="clear" w:color="auto" w:fill="auto"/>
            <w:vAlign w:val="center"/>
          </w:tcPr>
          <w:p w14:paraId="506EFC16">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100</w:t>
            </w:r>
          </w:p>
        </w:tc>
        <w:tc>
          <w:tcPr>
            <w:tcW w:w="424" w:type="pct"/>
            <w:tcBorders>
              <w:top w:val="single" w:color="000000" w:sz="4" w:space="0"/>
              <w:left w:val="single" w:color="auto" w:sz="4" w:space="0"/>
              <w:bottom w:val="single" w:color="000000" w:sz="4" w:space="0"/>
              <w:right w:val="single" w:color="000000" w:sz="4" w:space="0"/>
            </w:tcBorders>
            <w:shd w:val="clear" w:color="auto" w:fill="auto"/>
            <w:vAlign w:val="center"/>
          </w:tcPr>
          <w:p w14:paraId="015B0B78">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71.41</w:t>
            </w:r>
          </w:p>
        </w:tc>
        <w:tc>
          <w:tcPr>
            <w:tcW w:w="1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7C3601">
            <w:pPr>
              <w:pageBreakBefore w:val="0"/>
              <w:wordWrap/>
              <w:overflowPunct/>
              <w:topLinePunct w:val="0"/>
              <w:bidi w:val="0"/>
              <w:spacing w:line="560" w:lineRule="exact"/>
              <w:rPr>
                <w:rFonts w:hint="eastAsia" w:ascii="宋体" w:hAnsi="宋体" w:eastAsia="宋体" w:cs="宋体"/>
                <w:b/>
                <w:bCs/>
                <w:i w:val="0"/>
                <w:iCs w:val="0"/>
                <w:color w:val="000000"/>
                <w:sz w:val="16"/>
                <w:szCs w:val="16"/>
                <w:u w:val="none"/>
              </w:rPr>
            </w:pPr>
          </w:p>
        </w:tc>
      </w:tr>
      <w:tr w14:paraId="1A90D7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2964" w:type="pct"/>
            <w:gridSpan w:val="5"/>
            <w:tcBorders>
              <w:top w:val="single" w:color="000000" w:sz="4" w:space="0"/>
              <w:left w:val="single" w:color="auto" w:sz="4" w:space="0"/>
              <w:bottom w:val="single" w:color="000000" w:sz="4" w:space="0"/>
              <w:right w:val="single" w:color="auto" w:sz="4" w:space="0"/>
            </w:tcBorders>
            <w:shd w:val="clear" w:color="auto" w:fill="auto"/>
            <w:vAlign w:val="center"/>
          </w:tcPr>
          <w:p w14:paraId="718A6B6A">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评价等级</w:t>
            </w:r>
          </w:p>
        </w:tc>
        <w:tc>
          <w:tcPr>
            <w:tcW w:w="424" w:type="pct"/>
            <w:tcBorders>
              <w:top w:val="single" w:color="000000" w:sz="4" w:space="0"/>
              <w:left w:val="single" w:color="auto" w:sz="4" w:space="0"/>
              <w:bottom w:val="single" w:color="000000" w:sz="4" w:space="0"/>
              <w:right w:val="single" w:color="000000" w:sz="4" w:space="0"/>
            </w:tcBorders>
            <w:shd w:val="clear" w:color="auto" w:fill="auto"/>
            <w:vAlign w:val="center"/>
          </w:tcPr>
          <w:p w14:paraId="6F277B16">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中</w:t>
            </w:r>
          </w:p>
        </w:tc>
        <w:tc>
          <w:tcPr>
            <w:tcW w:w="1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4E77C4">
            <w:pPr>
              <w:pageBreakBefore w:val="0"/>
              <w:wordWrap/>
              <w:overflowPunct/>
              <w:topLinePunct w:val="0"/>
              <w:bidi w:val="0"/>
              <w:spacing w:line="560" w:lineRule="exact"/>
              <w:rPr>
                <w:rFonts w:hint="eastAsia" w:ascii="宋体" w:hAnsi="宋体" w:eastAsia="宋体" w:cs="宋体"/>
                <w:b/>
                <w:bCs/>
                <w:i w:val="0"/>
                <w:iCs w:val="0"/>
                <w:color w:val="000000"/>
                <w:sz w:val="16"/>
                <w:szCs w:val="16"/>
                <w:u w:val="none"/>
              </w:rPr>
            </w:pPr>
          </w:p>
        </w:tc>
      </w:tr>
    </w:tbl>
    <w:p w14:paraId="5DBFA1D9">
      <w:pPr>
        <w:pStyle w:val="4"/>
        <w:pageBreakBefore w:val="0"/>
        <w:widowControl w:val="0"/>
        <w:kinsoku/>
        <w:wordWrap/>
        <w:overflowPunct/>
        <w:topLinePunct w:val="0"/>
        <w:autoSpaceDE/>
        <w:autoSpaceDN/>
        <w:bidi w:val="0"/>
        <w:spacing w:line="560" w:lineRule="exact"/>
        <w:ind w:firstLine="640" w:firstLineChars="200"/>
        <w:textAlignment w:val="auto"/>
        <w:rPr>
          <w:rFonts w:hint="default"/>
          <w:color w:val="auto"/>
          <w:lang w:val="en-US" w:eastAsia="zh-CN"/>
        </w:rPr>
        <w:sectPr>
          <w:pgSz w:w="16838" w:h="11906" w:orient="landscape"/>
          <w:pgMar w:top="1797" w:right="1440" w:bottom="1489" w:left="1440" w:header="851" w:footer="992" w:gutter="0"/>
          <w:pgNumType w:fmt="decimal"/>
          <w:cols w:space="425" w:num="1"/>
          <w:docGrid w:type="lines" w:linePitch="312" w:charSpace="0"/>
        </w:sectPr>
      </w:pPr>
    </w:p>
    <w:p w14:paraId="1788D9FC">
      <w:pPr>
        <w:pStyle w:val="2"/>
        <w:pageBreakBefore w:val="0"/>
        <w:wordWrap/>
        <w:overflowPunct/>
        <w:topLinePunct w:val="0"/>
        <w:bidi w:val="0"/>
        <w:spacing w:line="560" w:lineRule="exact"/>
        <w:ind w:left="0" w:leftChars="0" w:firstLine="0" w:firstLineChars="0"/>
        <w:rPr>
          <w:sz w:val="32"/>
          <w:szCs w:val="32"/>
        </w:rPr>
      </w:pPr>
    </w:p>
    <w:p w14:paraId="3F980945">
      <w:pPr>
        <w:keepNext w:val="0"/>
        <w:keepLines w:val="0"/>
        <w:pageBreakBefore w:val="0"/>
        <w:widowControl/>
        <w:kinsoku/>
        <w:wordWrap/>
        <w:overflowPunct/>
        <w:topLinePunct w:val="0"/>
        <w:autoSpaceDE/>
        <w:autoSpaceDN/>
        <w:bidi w:val="0"/>
        <w:adjustRightInd w:val="0"/>
        <w:snapToGrid w:val="0"/>
        <w:spacing w:line="560" w:lineRule="exact"/>
        <w:ind w:firstLine="0" w:firstLineChars="0"/>
        <w:jc w:val="center"/>
        <w:textAlignment w:val="auto"/>
        <w:outlineLvl w:val="0"/>
        <w:rPr>
          <w:rFonts w:ascii="Times New Roman" w:hAnsi="Times New Roman" w:eastAsia="小标宋" w:cs="Times New Roman"/>
          <w:b/>
          <w:color w:val="auto"/>
          <w:sz w:val="44"/>
          <w:szCs w:val="44"/>
        </w:rPr>
      </w:pPr>
      <w:bookmarkStart w:id="479" w:name="_Toc11740"/>
    </w:p>
    <w:p w14:paraId="7EDE8FEE">
      <w:pPr>
        <w:keepNext w:val="0"/>
        <w:keepLines w:val="0"/>
        <w:pageBreakBefore w:val="0"/>
        <w:widowControl/>
        <w:kinsoku/>
        <w:wordWrap/>
        <w:overflowPunct/>
        <w:topLinePunct w:val="0"/>
        <w:autoSpaceDE/>
        <w:autoSpaceDN/>
        <w:bidi w:val="0"/>
        <w:adjustRightInd w:val="0"/>
        <w:snapToGrid w:val="0"/>
        <w:spacing w:line="560" w:lineRule="exact"/>
        <w:ind w:firstLine="0" w:firstLineChars="0"/>
        <w:jc w:val="center"/>
        <w:textAlignment w:val="auto"/>
        <w:outlineLvl w:val="0"/>
        <w:rPr>
          <w:rFonts w:hint="eastAsia" w:ascii="Times New Roman" w:hAnsi="Times New Roman" w:eastAsia="小标宋" w:cs="Times New Roman"/>
          <w:b/>
          <w:color w:val="auto"/>
          <w:sz w:val="44"/>
          <w:szCs w:val="44"/>
          <w:lang w:val="en-US" w:eastAsia="zh-CN"/>
        </w:rPr>
      </w:pPr>
      <w:r>
        <w:rPr>
          <w:rFonts w:ascii="Times New Roman" w:hAnsi="Times New Roman" w:eastAsia="小标宋" w:cs="Times New Roman"/>
          <w:b/>
          <w:color w:val="auto"/>
          <w:sz w:val="44"/>
          <w:szCs w:val="44"/>
        </w:rPr>
        <w:t>20</w:t>
      </w:r>
      <w:r>
        <w:rPr>
          <w:rFonts w:hint="eastAsia" w:ascii="Times New Roman" w:hAnsi="Times New Roman" w:eastAsia="小标宋" w:cs="Times New Roman"/>
          <w:b/>
          <w:color w:val="auto"/>
          <w:sz w:val="44"/>
          <w:szCs w:val="44"/>
          <w:lang w:val="en-US" w:eastAsia="zh-CN"/>
        </w:rPr>
        <w:t>21</w:t>
      </w:r>
      <w:r>
        <w:rPr>
          <w:rFonts w:ascii="Times New Roman" w:hAnsi="Times New Roman" w:eastAsia="小标宋" w:cs="Times New Roman"/>
          <w:b/>
          <w:color w:val="auto"/>
          <w:sz w:val="44"/>
          <w:szCs w:val="44"/>
        </w:rPr>
        <w:t>年</w:t>
      </w:r>
      <w:r>
        <w:rPr>
          <w:rFonts w:hint="eastAsia" w:ascii="Times New Roman" w:hAnsi="Times New Roman" w:eastAsia="小标宋" w:cs="Times New Roman"/>
          <w:b/>
          <w:color w:val="auto"/>
          <w:sz w:val="44"/>
          <w:szCs w:val="44"/>
          <w:lang w:val="en-US" w:eastAsia="zh-CN"/>
        </w:rPr>
        <w:t>遂宁市河东新区紫竹路小学校</w:t>
      </w:r>
      <w:bookmarkEnd w:id="479"/>
    </w:p>
    <w:p w14:paraId="519753B4">
      <w:pPr>
        <w:keepNext w:val="0"/>
        <w:keepLines w:val="0"/>
        <w:pageBreakBefore w:val="0"/>
        <w:widowControl/>
        <w:kinsoku/>
        <w:wordWrap/>
        <w:overflowPunct/>
        <w:topLinePunct w:val="0"/>
        <w:autoSpaceDE/>
        <w:autoSpaceDN/>
        <w:bidi w:val="0"/>
        <w:adjustRightInd w:val="0"/>
        <w:snapToGrid w:val="0"/>
        <w:spacing w:line="560" w:lineRule="exact"/>
        <w:ind w:firstLine="0" w:firstLineChars="0"/>
        <w:jc w:val="center"/>
        <w:textAlignment w:val="auto"/>
        <w:outlineLvl w:val="0"/>
        <w:rPr>
          <w:rFonts w:ascii="小标宋" w:hAnsi="方正小标宋_GBK" w:eastAsia="小标宋" w:cs="Times New Roman"/>
          <w:b/>
          <w:color w:val="auto"/>
          <w:sz w:val="44"/>
          <w:szCs w:val="44"/>
        </w:rPr>
      </w:pPr>
      <w:bookmarkStart w:id="480" w:name="_Toc17691"/>
      <w:r>
        <w:rPr>
          <w:rFonts w:hint="eastAsia" w:ascii="Times New Roman" w:hAnsi="Times New Roman" w:eastAsia="小标宋" w:cs="Times New Roman"/>
          <w:b/>
          <w:color w:val="auto"/>
          <w:sz w:val="44"/>
          <w:szCs w:val="44"/>
        </w:rPr>
        <w:t>部门整体支出绩效评价报告</w:t>
      </w:r>
      <w:bookmarkEnd w:id="480"/>
    </w:p>
    <w:p w14:paraId="180D61C9">
      <w:pPr>
        <w:pStyle w:val="4"/>
        <w:pageBreakBefore w:val="0"/>
        <w:kinsoku/>
        <w:wordWrap/>
        <w:overflowPunct/>
        <w:topLinePunct w:val="0"/>
        <w:autoSpaceDE/>
        <w:autoSpaceDN/>
        <w:bidi w:val="0"/>
        <w:spacing w:line="560" w:lineRule="exact"/>
        <w:ind w:left="0" w:leftChars="0" w:firstLine="0" w:firstLineChars="0"/>
        <w:textAlignment w:val="auto"/>
        <w:rPr>
          <w:rFonts w:hint="eastAsia"/>
          <w:color w:val="auto"/>
        </w:rPr>
      </w:pPr>
    </w:p>
    <w:p w14:paraId="480B34B8">
      <w:pPr>
        <w:pStyle w:val="4"/>
        <w:keepNext w:val="0"/>
        <w:keepLines w:val="0"/>
        <w:pageBreakBefore w:val="0"/>
        <w:widowControl/>
        <w:kinsoku/>
        <w:wordWrap/>
        <w:overflowPunct/>
        <w:topLinePunct w:val="0"/>
        <w:autoSpaceDE/>
        <w:autoSpaceDN/>
        <w:bidi w:val="0"/>
        <w:adjustRightInd w:val="0"/>
        <w:snapToGrid w:val="0"/>
        <w:spacing w:line="680" w:lineRule="exact"/>
        <w:ind w:left="0" w:leftChars="0" w:firstLine="0" w:firstLineChars="0"/>
        <w:textAlignment w:val="auto"/>
        <w:rPr>
          <w:rFonts w:hint="eastAsia"/>
          <w:color w:val="auto"/>
        </w:rPr>
      </w:pPr>
      <w:r>
        <w:rPr>
          <w:rFonts w:hint="eastAsia"/>
          <w:color w:val="auto"/>
        </w:rPr>
        <w:t>遂宁市河东新区财政金融国资管理局：</w:t>
      </w:r>
    </w:p>
    <w:p w14:paraId="5532A73A">
      <w:pPr>
        <w:pStyle w:val="4"/>
        <w:keepNext w:val="0"/>
        <w:keepLines w:val="0"/>
        <w:pageBreakBefore w:val="0"/>
        <w:widowControl/>
        <w:kinsoku/>
        <w:wordWrap/>
        <w:overflowPunct/>
        <w:topLinePunct w:val="0"/>
        <w:autoSpaceDE/>
        <w:autoSpaceDN/>
        <w:bidi w:val="0"/>
        <w:adjustRightInd w:val="0"/>
        <w:snapToGrid w:val="0"/>
        <w:spacing w:line="680" w:lineRule="exact"/>
        <w:ind w:firstLine="640" w:firstLineChars="200"/>
        <w:textAlignment w:val="auto"/>
        <w:rPr>
          <w:rFonts w:hint="eastAsia"/>
          <w:color w:val="auto"/>
        </w:rPr>
      </w:pPr>
      <w:r>
        <w:rPr>
          <w:rFonts w:hint="eastAsia"/>
          <w:color w:val="auto"/>
        </w:rPr>
        <w:t>我们接受委托，对遂宁市河东新区</w:t>
      </w:r>
      <w:r>
        <w:rPr>
          <w:rFonts w:hint="eastAsia"/>
          <w:color w:val="auto"/>
          <w:lang w:val="en-US" w:eastAsia="zh-CN"/>
        </w:rPr>
        <w:t>紫竹路小学校部门整体</w:t>
      </w:r>
      <w:r>
        <w:rPr>
          <w:rFonts w:hint="eastAsia"/>
          <w:color w:val="auto"/>
        </w:rPr>
        <w:t>进行绩效评价。遂宁市河东新区</w:t>
      </w:r>
      <w:r>
        <w:rPr>
          <w:rFonts w:hint="eastAsia"/>
          <w:color w:val="auto"/>
          <w:lang w:val="en-US" w:eastAsia="zh-CN"/>
        </w:rPr>
        <w:t>紫竹路小学校</w:t>
      </w:r>
      <w:r>
        <w:rPr>
          <w:rFonts w:hint="eastAsia"/>
          <w:color w:val="auto"/>
        </w:rPr>
        <w:t>对提供的相关资料的真实性、合法性、完整性负责。我们的责任是在遂宁市河东新区</w:t>
      </w:r>
      <w:r>
        <w:rPr>
          <w:rFonts w:hint="eastAsia"/>
          <w:color w:val="auto"/>
          <w:lang w:val="en-US" w:eastAsia="zh-CN"/>
        </w:rPr>
        <w:t>紫竹路小学校</w:t>
      </w:r>
      <w:r>
        <w:rPr>
          <w:rFonts w:hint="eastAsia"/>
          <w:color w:val="auto"/>
        </w:rPr>
        <w:t>提供的资料基础上发表绩效评价意见。我们依据《中共四川省委 四川省人民政府 关于全面实施预算绩效管理的实施意见》（川委发〔2019〕8号）、财政部《项目支出绩效评价管理办法》(财预〔2020〕10号）和四川省财政厅《关于四川省财政支出绩效评价操作规程（试行）》（川财绩〔2018〕2号）、遂宁市河东新区财政金融国资管理局《关于开展2022年财政重点绩效评价工作的通知》（遂东区财发〔2022〕8号）等相关文件规定基础上进行绩效评价工作。</w:t>
      </w:r>
    </w:p>
    <w:p w14:paraId="2477091A">
      <w:pPr>
        <w:pStyle w:val="4"/>
        <w:keepNext w:val="0"/>
        <w:keepLines w:val="0"/>
        <w:pageBreakBefore w:val="0"/>
        <w:widowControl/>
        <w:kinsoku/>
        <w:wordWrap/>
        <w:overflowPunct/>
        <w:topLinePunct w:val="0"/>
        <w:autoSpaceDE/>
        <w:autoSpaceDN/>
        <w:bidi w:val="0"/>
        <w:adjustRightInd w:val="0"/>
        <w:snapToGrid w:val="0"/>
        <w:spacing w:line="680" w:lineRule="exact"/>
        <w:ind w:firstLine="640" w:firstLineChars="200"/>
        <w:textAlignment w:val="auto"/>
        <w:rPr>
          <w:rFonts w:hint="eastAsia"/>
          <w:color w:val="auto"/>
        </w:rPr>
        <w:sectPr>
          <w:footerReference r:id="rId8" w:type="default"/>
          <w:pgSz w:w="11906" w:h="16838"/>
          <w:pgMar w:top="1440" w:right="1489" w:bottom="1440" w:left="1797" w:header="851" w:footer="992" w:gutter="0"/>
          <w:pgNumType w:start="1"/>
          <w:cols w:space="425" w:num="1"/>
          <w:docGrid w:type="lines" w:linePitch="312" w:charSpace="0"/>
        </w:sectPr>
      </w:pPr>
      <w:r>
        <w:rPr>
          <w:rFonts w:hint="eastAsia"/>
          <w:color w:val="auto"/>
        </w:rPr>
        <w:t>在评价过程中，评价组结合该项目的实际情况，实地核查相关内设机构的资料，现将评价情况报告如下：</w:t>
      </w:r>
    </w:p>
    <w:p w14:paraId="51CCB1EA">
      <w:pPr>
        <w:pStyle w:val="3"/>
        <w:pageBreakBefore w:val="0"/>
        <w:numPr>
          <w:ilvl w:val="0"/>
          <w:numId w:val="0"/>
        </w:numPr>
        <w:kinsoku/>
        <w:wordWrap/>
        <w:overflowPunct/>
        <w:topLinePunct w:val="0"/>
        <w:autoSpaceDE/>
        <w:autoSpaceDN/>
        <w:bidi w:val="0"/>
        <w:spacing w:line="560" w:lineRule="exact"/>
        <w:ind w:leftChars="200"/>
        <w:rPr>
          <w:rFonts w:hint="eastAsia"/>
          <w:color w:val="auto"/>
        </w:rPr>
      </w:pPr>
      <w:bookmarkStart w:id="481" w:name="_Toc4315"/>
      <w:r>
        <w:rPr>
          <w:rFonts w:hint="eastAsia"/>
          <w:color w:val="auto"/>
          <w:lang w:eastAsia="zh-CN"/>
        </w:rPr>
        <w:t>一、</w:t>
      </w:r>
      <w:r>
        <w:rPr>
          <w:rFonts w:hint="eastAsia"/>
          <w:color w:val="auto"/>
        </w:rPr>
        <w:t>部门（单位）概况</w:t>
      </w:r>
      <w:bookmarkEnd w:id="481"/>
    </w:p>
    <w:p w14:paraId="1C62E454">
      <w:pPr>
        <w:pStyle w:val="5"/>
        <w:pageBreakBefore w:val="0"/>
        <w:kinsoku/>
        <w:wordWrap/>
        <w:overflowPunct/>
        <w:topLinePunct w:val="0"/>
        <w:autoSpaceDE/>
        <w:autoSpaceDN/>
        <w:bidi w:val="0"/>
        <w:adjustRightInd/>
        <w:spacing w:line="560" w:lineRule="exact"/>
        <w:ind w:firstLine="643" w:firstLineChars="200"/>
        <w:rPr>
          <w:rFonts w:hint="eastAsia"/>
          <w:color w:val="auto"/>
        </w:rPr>
      </w:pPr>
      <w:bookmarkStart w:id="482" w:name="_Toc28305"/>
      <w:r>
        <w:rPr>
          <w:rFonts w:hint="eastAsia"/>
          <w:color w:val="auto"/>
        </w:rPr>
        <w:t>机构职能</w:t>
      </w:r>
      <w:bookmarkEnd w:id="482"/>
    </w:p>
    <w:p w14:paraId="4687A5F6">
      <w:pPr>
        <w:pStyle w:val="4"/>
        <w:pageBreakBefore w:val="0"/>
        <w:kinsoku/>
        <w:wordWrap/>
        <w:overflowPunct/>
        <w:topLinePunct w:val="0"/>
        <w:autoSpaceDE/>
        <w:autoSpaceDN/>
        <w:bidi w:val="0"/>
        <w:spacing w:line="560" w:lineRule="exact"/>
        <w:ind w:firstLine="640" w:firstLineChars="200"/>
        <w:rPr>
          <w:rFonts w:hint="default" w:ascii="宋体" w:hAnsi="宋体" w:cs="宋体"/>
          <w:b w:val="0"/>
          <w:bCs w:val="0"/>
          <w:color w:val="auto"/>
          <w:szCs w:val="21"/>
          <w:lang w:val="en-US" w:eastAsia="zh-CN"/>
        </w:rPr>
      </w:pPr>
      <w:r>
        <w:rPr>
          <w:rFonts w:hint="eastAsia" w:ascii="宋体" w:hAnsi="宋体" w:cs="宋体"/>
          <w:b w:val="0"/>
          <w:bCs w:val="0"/>
          <w:color w:val="auto"/>
          <w:szCs w:val="21"/>
          <w:lang w:val="en-US" w:eastAsia="zh-CN"/>
        </w:rPr>
        <w:t>遂宁市河东新区紫竹路小学校是遂宁市河东新区公益一类事业单位，主要承担小学教育教学活动。</w:t>
      </w:r>
    </w:p>
    <w:p w14:paraId="48FCB6AB">
      <w:pPr>
        <w:pStyle w:val="5"/>
        <w:pageBreakBefore w:val="0"/>
        <w:kinsoku/>
        <w:wordWrap/>
        <w:overflowPunct/>
        <w:topLinePunct w:val="0"/>
        <w:autoSpaceDE/>
        <w:autoSpaceDN/>
        <w:bidi w:val="0"/>
        <w:adjustRightInd/>
        <w:spacing w:line="560" w:lineRule="exact"/>
        <w:ind w:firstLine="643" w:firstLineChars="200"/>
        <w:rPr>
          <w:color w:val="auto"/>
        </w:rPr>
      </w:pPr>
      <w:bookmarkStart w:id="483" w:name="_Toc29251"/>
      <w:r>
        <w:rPr>
          <w:rFonts w:hint="eastAsia"/>
          <w:color w:val="auto"/>
        </w:rPr>
        <w:t>机构组成</w:t>
      </w:r>
      <w:bookmarkEnd w:id="483"/>
    </w:p>
    <w:p w14:paraId="5AB21F9F">
      <w:pPr>
        <w:pStyle w:val="4"/>
        <w:pageBreakBefore w:val="0"/>
        <w:kinsoku/>
        <w:wordWrap/>
        <w:overflowPunct/>
        <w:topLinePunct w:val="0"/>
        <w:autoSpaceDE/>
        <w:autoSpaceDN/>
        <w:bidi w:val="0"/>
        <w:spacing w:line="560" w:lineRule="exact"/>
        <w:ind w:firstLine="640" w:firstLineChars="200"/>
        <w:textAlignment w:val="auto"/>
        <w:rPr>
          <w:rFonts w:hint="eastAsia"/>
          <w:color w:val="auto"/>
          <w:lang w:val="en-US" w:eastAsia="zh-CN"/>
        </w:rPr>
      </w:pPr>
      <w:r>
        <w:rPr>
          <w:rFonts w:hint="eastAsia" w:ascii="宋体" w:hAnsi="宋体" w:cs="宋体"/>
          <w:b w:val="0"/>
          <w:bCs w:val="0"/>
          <w:color w:val="auto"/>
          <w:szCs w:val="21"/>
          <w:lang w:val="en-US" w:eastAsia="zh-CN"/>
        </w:rPr>
        <w:t>紫竹路小学</w:t>
      </w:r>
      <w:r>
        <w:rPr>
          <w:rFonts w:hint="eastAsia"/>
          <w:color w:val="auto"/>
          <w:lang w:val="en-US" w:eastAsia="zh-CN"/>
        </w:rPr>
        <w:t>内设学校党支部、校长室、学校办公室和学科学术委员会四个机构，</w:t>
      </w:r>
      <w:r>
        <w:rPr>
          <w:rFonts w:hint="eastAsia" w:ascii="宋体" w:hAnsi="宋体" w:cs="宋体"/>
          <w:b w:val="0"/>
          <w:bCs w:val="0"/>
          <w:color w:val="auto"/>
          <w:szCs w:val="21"/>
          <w:lang w:val="en-US" w:eastAsia="zh-CN"/>
        </w:rPr>
        <w:t>设校长1名，副校长3名。</w:t>
      </w:r>
    </w:p>
    <w:p w14:paraId="225A8EC1">
      <w:pPr>
        <w:pStyle w:val="5"/>
        <w:pageBreakBefore w:val="0"/>
        <w:kinsoku/>
        <w:wordWrap/>
        <w:overflowPunct/>
        <w:topLinePunct w:val="0"/>
        <w:autoSpaceDE/>
        <w:autoSpaceDN/>
        <w:bidi w:val="0"/>
        <w:spacing w:line="560" w:lineRule="exact"/>
        <w:ind w:left="-13" w:leftChars="0" w:firstLine="643" w:firstLineChars="200"/>
        <w:textAlignment w:val="auto"/>
        <w:rPr>
          <w:color w:val="auto"/>
        </w:rPr>
      </w:pPr>
      <w:bookmarkStart w:id="484" w:name="_Toc12706"/>
      <w:r>
        <w:rPr>
          <w:rFonts w:hint="eastAsia"/>
          <w:color w:val="auto"/>
        </w:rPr>
        <w:t>人员概况</w:t>
      </w:r>
      <w:bookmarkEnd w:id="484"/>
    </w:p>
    <w:p w14:paraId="55C48116">
      <w:pPr>
        <w:pStyle w:val="4"/>
        <w:pageBreakBefore w:val="0"/>
        <w:kinsoku/>
        <w:wordWrap/>
        <w:overflowPunct/>
        <w:topLinePunct w:val="0"/>
        <w:autoSpaceDE/>
        <w:autoSpaceDN/>
        <w:bidi w:val="0"/>
        <w:spacing w:line="560" w:lineRule="exact"/>
        <w:ind w:firstLine="640" w:firstLineChars="200"/>
        <w:textAlignment w:val="auto"/>
        <w:rPr>
          <w:rFonts w:hint="default"/>
          <w:color w:val="auto"/>
          <w:highlight w:val="none"/>
          <w:lang w:val="en-US" w:eastAsia="zh-CN"/>
        </w:rPr>
      </w:pPr>
      <w:r>
        <w:rPr>
          <w:rFonts w:hint="eastAsia"/>
          <w:color w:val="auto"/>
          <w:highlight w:val="none"/>
          <w:lang w:val="en-US" w:eastAsia="zh-CN"/>
        </w:rPr>
        <w:t>截止2021年12月31日，</w:t>
      </w:r>
      <w:r>
        <w:rPr>
          <w:rFonts w:hint="eastAsia" w:ascii="宋体" w:hAnsi="宋体" w:cs="宋体"/>
          <w:b w:val="0"/>
          <w:bCs w:val="0"/>
          <w:color w:val="auto"/>
          <w:szCs w:val="21"/>
          <w:lang w:val="en-US" w:eastAsia="zh-CN"/>
        </w:rPr>
        <w:t>紫竹路小学</w:t>
      </w:r>
      <w:r>
        <w:rPr>
          <w:rFonts w:hint="eastAsia"/>
          <w:color w:val="auto"/>
          <w:highlight w:val="none"/>
          <w:lang w:val="en-US" w:eastAsia="zh-CN"/>
        </w:rPr>
        <w:t>共有教职工编制数100名，实有在职人员95人，包括1名督学，4名借调人员，7名军转干部。</w:t>
      </w:r>
    </w:p>
    <w:p w14:paraId="33A4F559">
      <w:pPr>
        <w:pStyle w:val="5"/>
        <w:pageBreakBefore w:val="0"/>
        <w:numPr>
          <w:ilvl w:val="0"/>
          <w:numId w:val="2"/>
        </w:numPr>
        <w:kinsoku/>
        <w:wordWrap/>
        <w:overflowPunct/>
        <w:topLinePunct w:val="0"/>
        <w:autoSpaceDE/>
        <w:autoSpaceDN/>
        <w:bidi w:val="0"/>
        <w:adjustRightInd/>
        <w:spacing w:line="560" w:lineRule="exact"/>
        <w:ind w:left="0" w:leftChars="0" w:firstLine="643" w:firstLineChars="200"/>
        <w:rPr>
          <w:rFonts w:hint="eastAsia"/>
        </w:rPr>
      </w:pPr>
      <w:bookmarkStart w:id="485" w:name="_Toc29012"/>
      <w:r>
        <w:rPr>
          <w:rFonts w:hint="eastAsia"/>
          <w:color w:val="auto"/>
        </w:rPr>
        <w:t>年度主要工作目标及重点工作</w:t>
      </w:r>
      <w:bookmarkEnd w:id="485"/>
    </w:p>
    <w:p w14:paraId="3786549B">
      <w:pPr>
        <w:pStyle w:val="6"/>
        <w:pageBreakBefore w:val="0"/>
        <w:numPr>
          <w:ilvl w:val="2"/>
          <w:numId w:val="0"/>
        </w:numPr>
        <w:kinsoku/>
        <w:wordWrap/>
        <w:overflowPunct/>
        <w:topLinePunct w:val="0"/>
        <w:autoSpaceDE/>
        <w:autoSpaceDN/>
        <w:bidi w:val="0"/>
        <w:adjustRightInd/>
        <w:spacing w:line="560" w:lineRule="exact"/>
        <w:ind w:leftChars="0" w:firstLine="643" w:firstLineChars="200"/>
        <w:rPr>
          <w:rFonts w:hint="default"/>
          <w:b/>
          <w:bCs w:val="0"/>
          <w:color w:val="auto"/>
          <w:lang w:val="en-US" w:eastAsia="zh-CN"/>
        </w:rPr>
      </w:pPr>
      <w:r>
        <w:rPr>
          <w:rFonts w:hint="eastAsia"/>
          <w:b/>
          <w:bCs w:val="0"/>
          <w:color w:val="auto"/>
          <w:lang w:val="en-US" w:eastAsia="zh-CN"/>
        </w:rPr>
        <w:t>1.做好高质量教育教学工作</w:t>
      </w:r>
    </w:p>
    <w:p w14:paraId="0C1735C4">
      <w:pPr>
        <w:pStyle w:val="4"/>
        <w:pageBreakBefore w:val="0"/>
        <w:kinsoku/>
        <w:wordWrap/>
        <w:overflowPunct/>
        <w:topLinePunct w:val="0"/>
        <w:autoSpaceDE/>
        <w:autoSpaceDN/>
        <w:bidi w:val="0"/>
        <w:spacing w:line="560" w:lineRule="exact"/>
        <w:ind w:firstLine="640" w:firstLineChars="200"/>
        <w:textAlignment w:val="auto"/>
        <w:rPr>
          <w:rFonts w:hint="eastAsia" w:eastAsia="仿宋" w:cstheme="minorBidi"/>
          <w:color w:val="auto"/>
          <w:kern w:val="2"/>
          <w:sz w:val="32"/>
          <w:szCs w:val="32"/>
          <w:lang w:val="en-US" w:eastAsia="zh-CN" w:bidi="ar-SA"/>
        </w:rPr>
      </w:pPr>
      <w:r>
        <w:rPr>
          <w:rFonts w:hint="eastAsia" w:eastAsia="仿宋" w:cstheme="minorBidi"/>
          <w:color w:val="auto"/>
          <w:kern w:val="2"/>
          <w:sz w:val="32"/>
          <w:szCs w:val="32"/>
          <w:lang w:val="en-US" w:eastAsia="zh-CN" w:bidi="ar-SA"/>
        </w:rPr>
        <w:t>严格按照《中华人民共和国国民经济和社会发展第十四个五年规划和2035年远景目标纲要》《义务教育评价指南》《关于深化教育教学改革全面提高义务教育质量的意见》等文件的统一部署和要求，结合学校发展实际，完成2021年高质量教育教学工作。</w:t>
      </w:r>
    </w:p>
    <w:p w14:paraId="5FCA605A">
      <w:pPr>
        <w:pStyle w:val="4"/>
        <w:pageBreakBefore w:val="0"/>
        <w:numPr>
          <w:ilvl w:val="0"/>
          <w:numId w:val="0"/>
        </w:numPr>
        <w:kinsoku/>
        <w:wordWrap/>
        <w:overflowPunct/>
        <w:topLinePunct w:val="0"/>
        <w:autoSpaceDE/>
        <w:autoSpaceDN/>
        <w:bidi w:val="0"/>
        <w:spacing w:line="560" w:lineRule="exact"/>
        <w:ind w:firstLine="643" w:firstLineChars="200"/>
        <w:textAlignment w:val="auto"/>
        <w:rPr>
          <w:rFonts w:hint="eastAsia" w:eastAsia="仿宋" w:cstheme="minorBidi"/>
          <w:color w:val="auto"/>
          <w:kern w:val="2"/>
          <w:sz w:val="32"/>
          <w:szCs w:val="32"/>
          <w:highlight w:val="none"/>
          <w:lang w:val="en-US" w:eastAsia="zh-CN" w:bidi="ar-SA"/>
        </w:rPr>
      </w:pPr>
      <w:r>
        <w:rPr>
          <w:rFonts w:hint="eastAsia"/>
          <w:b/>
          <w:bCs w:val="0"/>
          <w:color w:val="auto"/>
          <w:szCs w:val="32"/>
          <w:highlight w:val="none"/>
          <w:lang w:val="en-US" w:eastAsia="zh-CN"/>
        </w:rPr>
        <w:t>2.做好党建工作</w:t>
      </w:r>
    </w:p>
    <w:p w14:paraId="6AA6939C">
      <w:pPr>
        <w:pStyle w:val="4"/>
        <w:pageBreakBefore w:val="0"/>
        <w:numPr>
          <w:ilvl w:val="0"/>
          <w:numId w:val="0"/>
        </w:numPr>
        <w:kinsoku/>
        <w:wordWrap/>
        <w:overflowPunct/>
        <w:topLinePunct w:val="0"/>
        <w:autoSpaceDE/>
        <w:autoSpaceDN/>
        <w:bidi w:val="0"/>
        <w:spacing w:line="560" w:lineRule="exact"/>
        <w:ind w:firstLine="640" w:firstLineChars="200"/>
        <w:textAlignment w:val="auto"/>
        <w:rPr>
          <w:rFonts w:hint="eastAsia" w:eastAsia="仿宋" w:cstheme="minorBidi"/>
          <w:color w:val="auto"/>
          <w:kern w:val="2"/>
          <w:sz w:val="32"/>
          <w:szCs w:val="32"/>
          <w:highlight w:val="none"/>
          <w:lang w:val="en-US" w:eastAsia="zh-CN" w:bidi="ar-SA"/>
        </w:rPr>
      </w:pPr>
      <w:r>
        <w:rPr>
          <w:rFonts w:hint="eastAsia" w:eastAsia="仿宋" w:cstheme="minorBidi"/>
          <w:color w:val="auto"/>
          <w:kern w:val="2"/>
          <w:sz w:val="32"/>
          <w:szCs w:val="32"/>
          <w:highlight w:val="none"/>
          <w:lang w:val="en-US" w:eastAsia="zh-CN" w:bidi="ar-SA"/>
        </w:rPr>
        <w:t>通过党建和学校的办学理念、治理体系深度融合，通过党建工作来引领学校高品质办学。确保党建引领学校塑造教育价值、党建引领学校确立治理核心、党建引领学校丰富育人内涵、党建引领学校建设教师队伍这四方面扎实推进。为学校工作提供坚强的组织保证，推进学校各项工作更好地发展</w:t>
      </w:r>
    </w:p>
    <w:p w14:paraId="2DA4C8AC">
      <w:pPr>
        <w:pStyle w:val="6"/>
        <w:pageBreakBefore w:val="0"/>
        <w:numPr>
          <w:ilvl w:val="2"/>
          <w:numId w:val="0"/>
        </w:numPr>
        <w:kinsoku/>
        <w:wordWrap/>
        <w:overflowPunct/>
        <w:topLinePunct w:val="0"/>
        <w:autoSpaceDE/>
        <w:autoSpaceDN/>
        <w:bidi w:val="0"/>
        <w:adjustRightInd/>
        <w:spacing w:line="560" w:lineRule="exact"/>
        <w:ind w:leftChars="0" w:firstLine="643" w:firstLineChars="200"/>
        <w:jc w:val="left"/>
        <w:rPr>
          <w:rFonts w:hint="default"/>
          <w:b/>
          <w:bCs w:val="0"/>
          <w:color w:val="auto"/>
          <w:highlight w:val="none"/>
          <w:lang w:val="en-US" w:eastAsia="zh-CN"/>
        </w:rPr>
      </w:pPr>
      <w:r>
        <w:rPr>
          <w:rFonts w:hint="eastAsia"/>
          <w:b/>
          <w:bCs w:val="0"/>
          <w:color w:val="auto"/>
          <w:highlight w:val="none"/>
          <w:lang w:val="en-US" w:eastAsia="zh-CN"/>
        </w:rPr>
        <w:t>3.贯彻落实校际交流工作</w:t>
      </w:r>
    </w:p>
    <w:p w14:paraId="19BF1DB2">
      <w:pPr>
        <w:pStyle w:val="6"/>
        <w:pageBreakBefore w:val="0"/>
        <w:numPr>
          <w:ilvl w:val="2"/>
          <w:numId w:val="0"/>
        </w:numPr>
        <w:kinsoku/>
        <w:wordWrap/>
        <w:overflowPunct/>
        <w:topLinePunct w:val="0"/>
        <w:autoSpaceDE/>
        <w:autoSpaceDN/>
        <w:bidi w:val="0"/>
        <w:adjustRightInd/>
        <w:spacing w:line="560" w:lineRule="exact"/>
        <w:ind w:leftChars="0" w:firstLine="640" w:firstLineChars="200"/>
        <w:jc w:val="left"/>
        <w:rPr>
          <w:rFonts w:hint="default" w:eastAsia="仿宋" w:cstheme="minorBidi"/>
          <w:color w:val="auto"/>
          <w:kern w:val="2"/>
          <w:sz w:val="32"/>
          <w:szCs w:val="32"/>
          <w:highlight w:val="none"/>
          <w:lang w:val="en-US" w:eastAsia="zh-CN" w:bidi="ar-SA"/>
        </w:rPr>
      </w:pPr>
      <w:r>
        <w:rPr>
          <w:rFonts w:hint="eastAsia" w:eastAsia="仿宋" w:cstheme="minorBidi"/>
          <w:color w:val="auto"/>
          <w:kern w:val="2"/>
          <w:sz w:val="32"/>
          <w:szCs w:val="32"/>
          <w:highlight w:val="none"/>
          <w:lang w:val="en-US" w:eastAsia="zh-CN" w:bidi="ar-SA"/>
        </w:rPr>
        <w:t>贯彻落实成遂“共建跨区域产业生态圈深化成遂一体化发展合作协议”，组织完成成都市名校走进遂宁活动暨教育战略合作工作。</w:t>
      </w:r>
    </w:p>
    <w:p w14:paraId="54EF5427">
      <w:pPr>
        <w:pStyle w:val="6"/>
        <w:pageBreakBefore w:val="0"/>
        <w:numPr>
          <w:ilvl w:val="2"/>
          <w:numId w:val="0"/>
        </w:numPr>
        <w:kinsoku/>
        <w:wordWrap/>
        <w:overflowPunct/>
        <w:topLinePunct w:val="0"/>
        <w:autoSpaceDE/>
        <w:autoSpaceDN/>
        <w:bidi w:val="0"/>
        <w:adjustRightInd/>
        <w:spacing w:line="560" w:lineRule="exact"/>
        <w:ind w:leftChars="0" w:firstLine="643" w:firstLineChars="200"/>
        <w:rPr>
          <w:rFonts w:hint="eastAsia"/>
          <w:b/>
          <w:bCs w:val="0"/>
          <w:color w:val="auto"/>
          <w:lang w:val="en-US" w:eastAsia="zh-CN"/>
        </w:rPr>
      </w:pPr>
      <w:r>
        <w:rPr>
          <w:rFonts w:hint="eastAsia"/>
          <w:b/>
          <w:bCs w:val="0"/>
          <w:color w:val="auto"/>
          <w:lang w:val="en-US" w:eastAsia="zh-CN"/>
        </w:rPr>
        <w:t>4.做好能力提升工程2.0工作</w:t>
      </w:r>
    </w:p>
    <w:p w14:paraId="4524E05B">
      <w:pPr>
        <w:pStyle w:val="4"/>
        <w:pageBreakBefore w:val="0"/>
        <w:wordWrap/>
        <w:overflowPunct/>
        <w:topLinePunct w:val="0"/>
        <w:bidi w:val="0"/>
        <w:spacing w:line="560" w:lineRule="exact"/>
        <w:rPr>
          <w:rFonts w:hint="default"/>
          <w:lang w:val="en-US" w:eastAsia="zh-CN"/>
        </w:rPr>
      </w:pPr>
      <w:r>
        <w:rPr>
          <w:rFonts w:hint="eastAsia"/>
          <w:lang w:val="en-US" w:eastAsia="zh-CN"/>
        </w:rPr>
        <w:t>组织开展能力提升工程2.0相关工作，结合学校实际情况，制定整校推进方案。</w:t>
      </w:r>
    </w:p>
    <w:p w14:paraId="66EC8004">
      <w:pPr>
        <w:pStyle w:val="3"/>
        <w:pageBreakBefore w:val="0"/>
        <w:numPr>
          <w:ilvl w:val="0"/>
          <w:numId w:val="0"/>
        </w:numPr>
        <w:kinsoku/>
        <w:wordWrap/>
        <w:overflowPunct/>
        <w:topLinePunct w:val="0"/>
        <w:autoSpaceDE/>
        <w:autoSpaceDN/>
        <w:bidi w:val="0"/>
        <w:spacing w:line="560" w:lineRule="exact"/>
        <w:ind w:leftChars="200"/>
        <w:rPr>
          <w:rFonts w:hint="eastAsia"/>
          <w:color w:val="auto"/>
          <w:szCs w:val="32"/>
        </w:rPr>
      </w:pPr>
      <w:bookmarkStart w:id="486" w:name="_Toc24895"/>
      <w:r>
        <w:rPr>
          <w:rFonts w:hint="eastAsia"/>
          <w:color w:val="auto"/>
          <w:szCs w:val="32"/>
          <w:lang w:val="en-US" w:eastAsia="zh-CN"/>
        </w:rPr>
        <w:t>二、预算编制及执行</w:t>
      </w:r>
      <w:r>
        <w:rPr>
          <w:rFonts w:hint="eastAsia"/>
          <w:color w:val="auto"/>
          <w:szCs w:val="32"/>
        </w:rPr>
        <w:t>情况</w:t>
      </w:r>
      <w:bookmarkEnd w:id="486"/>
    </w:p>
    <w:p w14:paraId="0AFCDD8B">
      <w:pPr>
        <w:pStyle w:val="5"/>
        <w:pageBreakBefore w:val="0"/>
        <w:numPr>
          <w:ilvl w:val="1"/>
          <w:numId w:val="0"/>
        </w:numPr>
        <w:kinsoku/>
        <w:wordWrap/>
        <w:overflowPunct/>
        <w:topLinePunct w:val="0"/>
        <w:autoSpaceDE/>
        <w:autoSpaceDN/>
        <w:bidi w:val="0"/>
        <w:spacing w:line="560" w:lineRule="exact"/>
        <w:ind w:leftChars="0" w:firstLine="643" w:firstLineChars="200"/>
        <w:textAlignment w:val="auto"/>
        <w:rPr>
          <w:rFonts w:hint="eastAsia"/>
          <w:color w:val="auto"/>
          <w:lang w:val="en-US" w:eastAsia="zh-CN"/>
        </w:rPr>
      </w:pPr>
      <w:bookmarkStart w:id="487" w:name="_Toc19239"/>
      <w:r>
        <w:rPr>
          <w:rFonts w:hint="eastAsia"/>
          <w:color w:val="auto"/>
          <w:lang w:val="en-US" w:eastAsia="zh-CN"/>
        </w:rPr>
        <w:t>（一）预算</w:t>
      </w:r>
      <w:r>
        <w:rPr>
          <w:rFonts w:hint="default"/>
          <w:color w:val="auto"/>
          <w:lang w:val="en-US" w:eastAsia="zh-CN"/>
        </w:rPr>
        <w:t>编制</w:t>
      </w:r>
      <w:r>
        <w:rPr>
          <w:rFonts w:hint="eastAsia"/>
          <w:color w:val="auto"/>
          <w:lang w:val="en-US" w:eastAsia="zh-CN"/>
        </w:rPr>
        <w:t>情况</w:t>
      </w:r>
      <w:bookmarkEnd w:id="487"/>
    </w:p>
    <w:p w14:paraId="44AFA5BF">
      <w:pPr>
        <w:pStyle w:val="6"/>
        <w:pageBreakBefore w:val="0"/>
        <w:kinsoku/>
        <w:wordWrap/>
        <w:overflowPunct/>
        <w:topLinePunct w:val="0"/>
        <w:autoSpaceDE/>
        <w:autoSpaceDN/>
        <w:bidi w:val="0"/>
        <w:adjustRightInd/>
        <w:spacing w:line="560" w:lineRule="exact"/>
        <w:ind w:firstLine="643" w:firstLineChars="200"/>
        <w:rPr>
          <w:rFonts w:hint="eastAsia"/>
          <w:b/>
          <w:bCs w:val="0"/>
          <w:color w:val="auto"/>
        </w:rPr>
      </w:pPr>
      <w:r>
        <w:rPr>
          <w:rFonts w:hint="eastAsia"/>
          <w:b/>
          <w:bCs w:val="0"/>
          <w:color w:val="auto"/>
        </w:rPr>
        <w:t>部门收入情况</w:t>
      </w:r>
    </w:p>
    <w:p w14:paraId="5F504570">
      <w:pPr>
        <w:pStyle w:val="4"/>
        <w:pageBreakBefore w:val="0"/>
        <w:kinsoku/>
        <w:wordWrap/>
        <w:overflowPunct/>
        <w:topLinePunct w:val="0"/>
        <w:autoSpaceDE/>
        <w:autoSpaceDN/>
        <w:bidi w:val="0"/>
        <w:spacing w:line="560" w:lineRule="exact"/>
        <w:ind w:firstLine="640" w:firstLineChars="200"/>
        <w:textAlignment w:val="auto"/>
        <w:rPr>
          <w:rFonts w:hint="eastAsia" w:eastAsia="仿宋_GB2312"/>
          <w:color w:val="auto"/>
          <w:szCs w:val="32"/>
          <w:lang w:val="en-US" w:eastAsia="zh-CN"/>
        </w:rPr>
      </w:pPr>
      <w:r>
        <w:rPr>
          <w:rFonts w:hint="eastAsia"/>
          <w:color w:val="auto"/>
          <w:szCs w:val="32"/>
          <w:lang w:val="en-US" w:eastAsia="zh-CN"/>
        </w:rPr>
        <w:t>2021年，紫竹路小学年初收入预算705.65万元，调整预算 1,016.6万元，</w:t>
      </w:r>
      <w:r>
        <w:rPr>
          <w:color w:val="auto"/>
          <w:szCs w:val="32"/>
        </w:rPr>
        <w:t>决算</w:t>
      </w:r>
      <w:r>
        <w:rPr>
          <w:rFonts w:hint="eastAsia"/>
          <w:color w:val="auto"/>
          <w:szCs w:val="32"/>
          <w:lang w:val="en-US" w:eastAsia="zh-CN"/>
        </w:rPr>
        <w:t>984</w:t>
      </w:r>
      <w:r>
        <w:rPr>
          <w:color w:val="auto"/>
          <w:szCs w:val="32"/>
        </w:rPr>
        <w:t>万元。</w:t>
      </w:r>
      <w:r>
        <w:rPr>
          <w:rFonts w:hint="eastAsia"/>
          <w:color w:val="auto"/>
          <w:szCs w:val="32"/>
          <w:lang w:val="en-US" w:eastAsia="zh-CN"/>
        </w:rPr>
        <w:t>收入来源为</w:t>
      </w:r>
      <w:r>
        <w:rPr>
          <w:color w:val="auto"/>
          <w:szCs w:val="32"/>
        </w:rPr>
        <w:t>一般公共预算财政拨款</w:t>
      </w:r>
      <w:r>
        <w:rPr>
          <w:rFonts w:hint="eastAsia"/>
          <w:color w:val="auto"/>
          <w:szCs w:val="32"/>
          <w:lang w:eastAsia="zh-CN"/>
        </w:rPr>
        <w:t>。</w:t>
      </w:r>
    </w:p>
    <w:p w14:paraId="33598807">
      <w:pPr>
        <w:pStyle w:val="6"/>
        <w:pageBreakBefore w:val="0"/>
        <w:kinsoku/>
        <w:wordWrap/>
        <w:overflowPunct/>
        <w:topLinePunct w:val="0"/>
        <w:autoSpaceDE/>
        <w:autoSpaceDN/>
        <w:bidi w:val="0"/>
        <w:adjustRightInd/>
        <w:spacing w:line="560" w:lineRule="exact"/>
        <w:ind w:firstLine="643" w:firstLineChars="200"/>
        <w:rPr>
          <w:rFonts w:hint="eastAsia"/>
          <w:b/>
          <w:bCs w:val="0"/>
          <w:color w:val="auto"/>
        </w:rPr>
      </w:pPr>
      <w:r>
        <w:rPr>
          <w:rFonts w:hint="eastAsia"/>
          <w:b/>
          <w:bCs w:val="0"/>
          <w:color w:val="auto"/>
        </w:rPr>
        <w:t>部门支出</w:t>
      </w:r>
      <w:r>
        <w:rPr>
          <w:rFonts w:hint="eastAsia"/>
          <w:b/>
          <w:bCs w:val="0"/>
          <w:color w:val="auto"/>
          <w:lang w:val="en-US" w:eastAsia="zh-CN"/>
        </w:rPr>
        <w:t>及预算执行</w:t>
      </w:r>
      <w:r>
        <w:rPr>
          <w:rFonts w:hint="eastAsia"/>
          <w:b/>
          <w:bCs w:val="0"/>
          <w:color w:val="auto"/>
        </w:rPr>
        <w:t>情况</w:t>
      </w:r>
    </w:p>
    <w:p w14:paraId="5DDA93F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
          <w:color w:val="auto"/>
          <w:sz w:val="32"/>
          <w:szCs w:val="32"/>
          <w:lang w:val="en-US" w:eastAsia="zh-CN"/>
        </w:rPr>
      </w:pPr>
      <w:r>
        <w:rPr>
          <w:rFonts w:hint="eastAsia" w:ascii="Times New Roman" w:hAnsi="Times New Roman" w:eastAsia="仿宋"/>
          <w:color w:val="auto"/>
          <w:sz w:val="32"/>
          <w:szCs w:val="32"/>
          <w:lang w:val="en-US" w:eastAsia="zh-CN"/>
        </w:rPr>
        <w:t>2021年，紫竹路小学年初支出预算705.65万元（其中：基本支出705.65万元，项目支出0万元）；调整预算为 1,016.6万元（其中：基本支出849.11万元，项目支出167.49万元）；决算984万元（其中：基本支出849.11万元，项目支出134.89万元）。</w:t>
      </w:r>
    </w:p>
    <w:p w14:paraId="7F9071C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color w:val="auto"/>
        </w:rPr>
      </w:pPr>
      <w:r>
        <w:rPr>
          <w:rFonts w:hint="eastAsia" w:ascii="Times New Roman" w:hAnsi="Times New Roman" w:eastAsia="仿宋"/>
          <w:color w:val="auto"/>
          <w:sz w:val="32"/>
          <w:szCs w:val="32"/>
          <w:lang w:val="en-US" w:eastAsia="zh-CN"/>
        </w:rPr>
        <w:t>2021年收入预算执行进度96.79%。具体支出预决算情况见表1，项目支出明细见表2：</w:t>
      </w:r>
    </w:p>
    <w:p w14:paraId="2F55970E">
      <w:pPr>
        <w:pStyle w:val="12"/>
        <w:keepNext w:val="0"/>
        <w:keepLines w:val="0"/>
        <w:pageBreakBefore w:val="0"/>
        <w:widowControl w:val="0"/>
        <w:kinsoku/>
        <w:wordWrap/>
        <w:overflowPunct/>
        <w:topLinePunct w:val="0"/>
        <w:autoSpaceDE/>
        <w:autoSpaceDN/>
        <w:bidi w:val="0"/>
        <w:adjustRightInd/>
        <w:snapToGrid w:val="0"/>
        <w:spacing w:before="60" w:after="60" w:line="560" w:lineRule="exact"/>
        <w:ind w:left="0" w:leftChars="0" w:right="0" w:rightChars="0" w:firstLine="482" w:firstLineChars="200"/>
        <w:textAlignment w:val="auto"/>
        <w:outlineLvl w:val="9"/>
        <w:rPr>
          <w:color w:val="auto"/>
        </w:rPr>
      </w:pPr>
      <w:r>
        <w:rPr>
          <w:rFonts w:hint="eastAsia"/>
          <w:color w:val="auto"/>
        </w:rPr>
        <w:t>表</w:t>
      </w:r>
      <w:r>
        <w:rPr>
          <w:rFonts w:hint="eastAsia"/>
          <w:color w:val="auto"/>
          <w:lang w:val="en-US" w:eastAsia="zh-CN"/>
        </w:rPr>
        <w:t>1</w:t>
      </w:r>
      <w:r>
        <w:rPr>
          <w:color w:val="auto"/>
        </w:rPr>
        <w:t xml:space="preserve">  20</w:t>
      </w:r>
      <w:r>
        <w:rPr>
          <w:rFonts w:hint="eastAsia"/>
          <w:color w:val="auto"/>
          <w:lang w:val="en-US" w:eastAsia="zh-CN"/>
        </w:rPr>
        <w:t>21</w:t>
      </w:r>
      <w:r>
        <w:rPr>
          <w:color w:val="auto"/>
        </w:rPr>
        <w:t>年</w:t>
      </w:r>
      <w:r>
        <w:rPr>
          <w:rFonts w:hint="eastAsia"/>
          <w:color w:val="auto"/>
          <w:lang w:val="en-US" w:eastAsia="zh-CN"/>
        </w:rPr>
        <w:t>紫竹路小学支出</w:t>
      </w:r>
      <w:r>
        <w:rPr>
          <w:color w:val="auto"/>
        </w:rPr>
        <w:t>预决算情况表</w:t>
      </w:r>
    </w:p>
    <w:p w14:paraId="208D5032">
      <w:pPr>
        <w:pStyle w:val="12"/>
        <w:keepNext w:val="0"/>
        <w:keepLines w:val="0"/>
        <w:pageBreakBefore w:val="0"/>
        <w:widowControl w:val="0"/>
        <w:kinsoku/>
        <w:wordWrap/>
        <w:overflowPunct/>
        <w:topLinePunct w:val="0"/>
        <w:autoSpaceDE/>
        <w:autoSpaceDN/>
        <w:bidi w:val="0"/>
        <w:adjustRightInd/>
        <w:snapToGrid w:val="0"/>
        <w:spacing w:before="60" w:after="60" w:line="560" w:lineRule="exact"/>
        <w:ind w:left="0" w:leftChars="0" w:right="0" w:rightChars="0" w:firstLine="480" w:firstLineChars="200"/>
        <w:jc w:val="right"/>
        <w:textAlignment w:val="auto"/>
        <w:outlineLvl w:val="9"/>
        <w:rPr>
          <w:b w:val="0"/>
          <w:bCs/>
          <w:color w:val="auto"/>
        </w:rPr>
      </w:pPr>
      <w:r>
        <w:rPr>
          <w:rFonts w:hint="eastAsia"/>
          <w:b w:val="0"/>
          <w:bCs/>
          <w:color w:val="auto"/>
        </w:rPr>
        <w:t>单位</w:t>
      </w:r>
      <w:r>
        <w:rPr>
          <w:b w:val="0"/>
          <w:bCs/>
          <w:color w:val="auto"/>
        </w:rPr>
        <w:t>：万元</w:t>
      </w:r>
    </w:p>
    <w:tbl>
      <w:tblPr>
        <w:tblStyle w:val="10"/>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2"/>
        <w:gridCol w:w="1768"/>
        <w:gridCol w:w="1768"/>
        <w:gridCol w:w="1768"/>
        <w:gridCol w:w="1768"/>
      </w:tblGrid>
      <w:tr w14:paraId="19F5C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997" w:type="pct"/>
            <w:vAlign w:val="center"/>
          </w:tcPr>
          <w:p w14:paraId="08F0EE7B">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eastAsia="宋体" w:cs="宋体"/>
                <w:b/>
                <w:bCs w:val="0"/>
                <w:color w:val="auto"/>
                <w:kern w:val="0"/>
                <w:sz w:val="22"/>
                <w:szCs w:val="22"/>
                <w:lang w:val="zh-CN" w:eastAsia="zh-CN" w:bidi="ar-SA"/>
              </w:rPr>
            </w:pPr>
            <w:r>
              <w:rPr>
                <w:rFonts w:hint="eastAsia" w:ascii="Times New Roman" w:hAnsi="Times New Roman" w:eastAsia="宋体" w:cs="宋体"/>
                <w:b/>
                <w:bCs w:val="0"/>
                <w:color w:val="auto"/>
                <w:kern w:val="0"/>
                <w:sz w:val="22"/>
                <w:szCs w:val="22"/>
                <w:lang w:val="zh-CN" w:eastAsia="zh-CN" w:bidi="ar-SA"/>
              </w:rPr>
              <w:t>类别</w:t>
            </w:r>
          </w:p>
        </w:tc>
        <w:tc>
          <w:tcPr>
            <w:tcW w:w="1000" w:type="pct"/>
            <w:vAlign w:val="center"/>
          </w:tcPr>
          <w:p w14:paraId="0A8A85AA">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eastAsia="宋体" w:cs="宋体"/>
                <w:b/>
                <w:bCs w:val="0"/>
                <w:color w:val="auto"/>
                <w:kern w:val="0"/>
                <w:sz w:val="22"/>
                <w:szCs w:val="22"/>
                <w:lang w:val="zh-CN" w:eastAsia="zh-CN" w:bidi="ar-SA"/>
              </w:rPr>
            </w:pPr>
            <w:r>
              <w:rPr>
                <w:rFonts w:hint="eastAsia" w:ascii="Times New Roman" w:hAnsi="Times New Roman" w:eastAsia="宋体" w:cs="宋体"/>
                <w:b/>
                <w:bCs w:val="0"/>
                <w:color w:val="auto"/>
                <w:kern w:val="0"/>
                <w:sz w:val="22"/>
                <w:szCs w:val="22"/>
                <w:lang w:val="zh-CN" w:eastAsia="zh-CN" w:bidi="ar-SA"/>
              </w:rPr>
              <w:t>预算数</w:t>
            </w:r>
          </w:p>
        </w:tc>
        <w:tc>
          <w:tcPr>
            <w:tcW w:w="1000" w:type="pct"/>
            <w:vAlign w:val="center"/>
          </w:tcPr>
          <w:p w14:paraId="54B3E0EC">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hint="default" w:ascii="Times New Roman" w:hAnsi="Times New Roman" w:eastAsia="宋体" w:cs="宋体"/>
                <w:b/>
                <w:bCs w:val="0"/>
                <w:color w:val="auto"/>
                <w:kern w:val="0"/>
                <w:sz w:val="22"/>
                <w:szCs w:val="22"/>
                <w:lang w:val="en-US" w:eastAsia="zh-CN" w:bidi="ar-SA"/>
              </w:rPr>
            </w:pPr>
            <w:r>
              <w:rPr>
                <w:rFonts w:hint="eastAsia" w:ascii="Times New Roman" w:hAnsi="Times New Roman" w:eastAsia="宋体" w:cs="宋体"/>
                <w:b/>
                <w:bCs w:val="0"/>
                <w:color w:val="auto"/>
                <w:kern w:val="0"/>
                <w:sz w:val="22"/>
                <w:szCs w:val="22"/>
                <w:lang w:val="en-US" w:eastAsia="zh-CN" w:bidi="ar-SA"/>
              </w:rPr>
              <w:t>调整数</w:t>
            </w:r>
          </w:p>
        </w:tc>
        <w:tc>
          <w:tcPr>
            <w:tcW w:w="1000" w:type="pct"/>
            <w:vAlign w:val="center"/>
          </w:tcPr>
          <w:p w14:paraId="4ACC378D">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eastAsia="宋体" w:cs="宋体"/>
                <w:b/>
                <w:bCs w:val="0"/>
                <w:color w:val="auto"/>
                <w:kern w:val="0"/>
                <w:sz w:val="22"/>
                <w:szCs w:val="22"/>
                <w:lang w:val="zh-CN" w:eastAsia="zh-CN" w:bidi="ar-SA"/>
              </w:rPr>
            </w:pPr>
            <w:r>
              <w:rPr>
                <w:rFonts w:hint="eastAsia" w:ascii="Times New Roman" w:hAnsi="Times New Roman" w:eastAsia="宋体" w:cs="宋体"/>
                <w:b/>
                <w:bCs w:val="0"/>
                <w:color w:val="auto"/>
                <w:kern w:val="0"/>
                <w:sz w:val="22"/>
                <w:szCs w:val="22"/>
                <w:lang w:val="zh-CN" w:eastAsia="zh-CN" w:bidi="ar-SA"/>
              </w:rPr>
              <w:t>决算数</w:t>
            </w:r>
          </w:p>
        </w:tc>
        <w:tc>
          <w:tcPr>
            <w:tcW w:w="1000" w:type="pct"/>
            <w:vAlign w:val="center"/>
          </w:tcPr>
          <w:p w14:paraId="7ADAC144">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宋体" w:cs="宋体"/>
                <w:b/>
                <w:bCs w:val="0"/>
                <w:color w:val="auto"/>
                <w:kern w:val="0"/>
                <w:sz w:val="22"/>
                <w:szCs w:val="22"/>
                <w:lang w:val="en-US" w:eastAsia="zh-Hans" w:bidi="ar-SA"/>
              </w:rPr>
            </w:pPr>
            <w:r>
              <w:rPr>
                <w:rFonts w:hint="eastAsia" w:ascii="Times New Roman" w:hAnsi="Times New Roman" w:eastAsia="宋体" w:cs="宋体"/>
                <w:b/>
                <w:bCs w:val="0"/>
                <w:color w:val="auto"/>
                <w:kern w:val="0"/>
                <w:sz w:val="22"/>
                <w:szCs w:val="22"/>
                <w:lang w:val="en-US" w:eastAsia="zh-Hans" w:bidi="ar-SA"/>
              </w:rPr>
              <w:t>预算执行率</w:t>
            </w:r>
          </w:p>
        </w:tc>
      </w:tr>
      <w:tr w14:paraId="5A94D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997" w:type="pct"/>
            <w:vAlign w:val="center"/>
          </w:tcPr>
          <w:p w14:paraId="10923A76">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eastAsia="宋体" w:cs="宋体"/>
                <w:bCs/>
                <w:color w:val="auto"/>
                <w:kern w:val="0"/>
                <w:sz w:val="22"/>
                <w:szCs w:val="22"/>
                <w:lang w:val="zh-CN" w:eastAsia="zh-CN" w:bidi="ar-SA"/>
              </w:rPr>
            </w:pPr>
            <w:r>
              <w:rPr>
                <w:rFonts w:hint="eastAsia" w:ascii="Times New Roman" w:hAnsi="Times New Roman" w:eastAsia="宋体" w:cs="宋体"/>
                <w:bCs/>
                <w:color w:val="auto"/>
                <w:kern w:val="0"/>
                <w:sz w:val="22"/>
                <w:szCs w:val="22"/>
                <w:lang w:val="zh-CN" w:eastAsia="zh-CN" w:bidi="ar-SA"/>
              </w:rPr>
              <w:t>基本支出</w:t>
            </w:r>
          </w:p>
        </w:tc>
        <w:tc>
          <w:tcPr>
            <w:tcW w:w="1000" w:type="pct"/>
            <w:vAlign w:val="center"/>
          </w:tcPr>
          <w:p w14:paraId="446F987E">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705.65</w:t>
            </w:r>
          </w:p>
        </w:tc>
        <w:tc>
          <w:tcPr>
            <w:tcW w:w="1000" w:type="pct"/>
            <w:vAlign w:val="center"/>
          </w:tcPr>
          <w:p w14:paraId="63322D78">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849.11</w:t>
            </w:r>
          </w:p>
        </w:tc>
        <w:tc>
          <w:tcPr>
            <w:tcW w:w="1000" w:type="pct"/>
            <w:vAlign w:val="center"/>
          </w:tcPr>
          <w:p w14:paraId="22E001EB">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849.11</w:t>
            </w:r>
          </w:p>
        </w:tc>
        <w:tc>
          <w:tcPr>
            <w:tcW w:w="1768" w:type="dxa"/>
            <w:vAlign w:val="center"/>
          </w:tcPr>
          <w:p w14:paraId="2F535746">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100.00%</w:t>
            </w:r>
          </w:p>
        </w:tc>
      </w:tr>
      <w:tr w14:paraId="3A317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997" w:type="pct"/>
            <w:vAlign w:val="center"/>
          </w:tcPr>
          <w:p w14:paraId="008FF31D">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eastAsia="宋体" w:cs="宋体"/>
                <w:bCs/>
                <w:color w:val="auto"/>
                <w:kern w:val="0"/>
                <w:sz w:val="22"/>
                <w:szCs w:val="22"/>
                <w:lang w:val="zh-CN" w:eastAsia="zh-CN" w:bidi="ar-SA"/>
              </w:rPr>
            </w:pPr>
            <w:r>
              <w:rPr>
                <w:rFonts w:hint="eastAsia" w:ascii="Times New Roman" w:hAnsi="Times New Roman" w:eastAsia="宋体" w:cs="宋体"/>
                <w:bCs/>
                <w:color w:val="auto"/>
                <w:kern w:val="0"/>
                <w:sz w:val="22"/>
                <w:szCs w:val="22"/>
                <w:lang w:val="zh-CN" w:eastAsia="zh-CN" w:bidi="ar-SA"/>
              </w:rPr>
              <w:t>项目支出</w:t>
            </w:r>
          </w:p>
        </w:tc>
        <w:tc>
          <w:tcPr>
            <w:tcW w:w="1000" w:type="pct"/>
            <w:vAlign w:val="center"/>
          </w:tcPr>
          <w:p w14:paraId="26D5A71B">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0.00</w:t>
            </w:r>
          </w:p>
        </w:tc>
        <w:tc>
          <w:tcPr>
            <w:tcW w:w="1000" w:type="pct"/>
            <w:vAlign w:val="center"/>
          </w:tcPr>
          <w:p w14:paraId="62C28CC3">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zh-CN" w:eastAsia="zh-CN" w:bidi="ar"/>
              </w:rPr>
            </w:pPr>
            <w:r>
              <w:rPr>
                <w:rFonts w:hint="eastAsia" w:ascii="仿宋" w:hAnsi="仿宋" w:eastAsia="仿宋" w:cs="仿宋"/>
                <w:i w:val="0"/>
                <w:iCs w:val="0"/>
                <w:color w:val="auto"/>
                <w:kern w:val="0"/>
                <w:sz w:val="22"/>
                <w:szCs w:val="22"/>
                <w:u w:val="none"/>
                <w:lang w:val="en-US" w:eastAsia="zh-CN" w:bidi="ar"/>
              </w:rPr>
              <w:t>167.49</w:t>
            </w:r>
          </w:p>
        </w:tc>
        <w:tc>
          <w:tcPr>
            <w:tcW w:w="1000" w:type="pct"/>
            <w:vAlign w:val="center"/>
          </w:tcPr>
          <w:p w14:paraId="6102725A">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zh-CN" w:eastAsia="zh-CN" w:bidi="ar"/>
              </w:rPr>
            </w:pPr>
            <w:r>
              <w:rPr>
                <w:rFonts w:hint="eastAsia" w:ascii="仿宋" w:hAnsi="仿宋" w:eastAsia="仿宋" w:cs="仿宋"/>
                <w:i w:val="0"/>
                <w:iCs w:val="0"/>
                <w:color w:val="auto"/>
                <w:kern w:val="0"/>
                <w:sz w:val="22"/>
                <w:szCs w:val="22"/>
                <w:u w:val="none"/>
                <w:lang w:val="en-US" w:eastAsia="zh-CN" w:bidi="ar"/>
              </w:rPr>
              <w:t>134.89</w:t>
            </w:r>
          </w:p>
        </w:tc>
        <w:tc>
          <w:tcPr>
            <w:tcW w:w="1768" w:type="dxa"/>
            <w:vAlign w:val="center"/>
          </w:tcPr>
          <w:p w14:paraId="43E16E79">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zh-CN" w:eastAsia="zh-CN" w:bidi="ar"/>
              </w:rPr>
            </w:pPr>
            <w:r>
              <w:rPr>
                <w:rFonts w:hint="eastAsia" w:ascii="仿宋" w:hAnsi="仿宋" w:eastAsia="仿宋" w:cs="仿宋"/>
                <w:i w:val="0"/>
                <w:iCs w:val="0"/>
                <w:color w:val="auto"/>
                <w:kern w:val="0"/>
                <w:sz w:val="22"/>
                <w:szCs w:val="22"/>
                <w:u w:val="none"/>
                <w:lang w:val="en-US" w:eastAsia="zh-CN" w:bidi="ar"/>
              </w:rPr>
              <w:t>80.54%</w:t>
            </w:r>
          </w:p>
        </w:tc>
      </w:tr>
      <w:tr w14:paraId="5C10C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997" w:type="pct"/>
            <w:vAlign w:val="center"/>
          </w:tcPr>
          <w:p w14:paraId="78B0115F">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hint="default" w:ascii="Times New Roman" w:hAnsi="Times New Roman" w:eastAsia="宋体" w:cs="宋体"/>
                <w:bCs/>
                <w:color w:val="auto"/>
                <w:kern w:val="0"/>
                <w:sz w:val="22"/>
                <w:szCs w:val="22"/>
                <w:lang w:val="en-US" w:eastAsia="zh-CN" w:bidi="ar-SA"/>
              </w:rPr>
            </w:pPr>
            <w:r>
              <w:rPr>
                <w:rFonts w:hint="eastAsia" w:ascii="Times New Roman" w:hAnsi="Times New Roman" w:eastAsia="宋体" w:cs="宋体"/>
                <w:bCs/>
                <w:color w:val="auto"/>
                <w:kern w:val="0"/>
                <w:sz w:val="22"/>
                <w:szCs w:val="22"/>
                <w:lang w:val="en-US" w:eastAsia="zh-CN" w:bidi="ar-SA"/>
              </w:rPr>
              <w:t>合计</w:t>
            </w:r>
          </w:p>
        </w:tc>
        <w:tc>
          <w:tcPr>
            <w:tcW w:w="1000" w:type="pct"/>
            <w:vAlign w:val="center"/>
          </w:tcPr>
          <w:p w14:paraId="7ED1688F">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705.65</w:t>
            </w:r>
          </w:p>
        </w:tc>
        <w:tc>
          <w:tcPr>
            <w:tcW w:w="1000" w:type="pct"/>
            <w:vAlign w:val="center"/>
          </w:tcPr>
          <w:p w14:paraId="6EE7CF28">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 xml:space="preserve"> 1,016.6</w:t>
            </w:r>
          </w:p>
        </w:tc>
        <w:tc>
          <w:tcPr>
            <w:tcW w:w="1000" w:type="pct"/>
            <w:vAlign w:val="center"/>
          </w:tcPr>
          <w:p w14:paraId="075E497F">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984.00</w:t>
            </w:r>
          </w:p>
        </w:tc>
        <w:tc>
          <w:tcPr>
            <w:tcW w:w="1768" w:type="dxa"/>
            <w:vAlign w:val="center"/>
          </w:tcPr>
          <w:p w14:paraId="366DB60B">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96.79%</w:t>
            </w:r>
          </w:p>
        </w:tc>
      </w:tr>
    </w:tbl>
    <w:p w14:paraId="0529282A">
      <w:pPr>
        <w:pStyle w:val="12"/>
        <w:pageBreakBefore w:val="0"/>
        <w:kinsoku/>
        <w:wordWrap/>
        <w:overflowPunct/>
        <w:topLinePunct w:val="0"/>
        <w:autoSpaceDE/>
        <w:autoSpaceDN/>
        <w:bidi w:val="0"/>
        <w:snapToGrid w:val="0"/>
        <w:spacing w:before="60" w:line="560" w:lineRule="exact"/>
        <w:ind w:left="0" w:leftChars="0" w:firstLine="482" w:firstLineChars="200"/>
        <w:outlineLvl w:val="9"/>
        <w:rPr>
          <w:rFonts w:hint="eastAsia"/>
          <w:color w:val="auto"/>
        </w:rPr>
      </w:pPr>
    </w:p>
    <w:p w14:paraId="33900B8D">
      <w:pPr>
        <w:pStyle w:val="12"/>
        <w:pageBreakBefore w:val="0"/>
        <w:kinsoku/>
        <w:wordWrap/>
        <w:overflowPunct/>
        <w:topLinePunct w:val="0"/>
        <w:autoSpaceDE/>
        <w:autoSpaceDN/>
        <w:bidi w:val="0"/>
        <w:snapToGrid w:val="0"/>
        <w:spacing w:before="60" w:line="560" w:lineRule="exact"/>
        <w:ind w:left="0" w:leftChars="0" w:firstLine="482" w:firstLineChars="200"/>
        <w:outlineLvl w:val="9"/>
        <w:rPr>
          <w:rFonts w:hint="eastAsia"/>
          <w:color w:val="auto"/>
        </w:rPr>
      </w:pPr>
      <w:r>
        <w:rPr>
          <w:rFonts w:hint="eastAsia"/>
          <w:color w:val="auto"/>
        </w:rPr>
        <w:t>表</w:t>
      </w:r>
      <w:r>
        <w:rPr>
          <w:rFonts w:hint="eastAsia"/>
          <w:color w:val="auto"/>
          <w:lang w:val="en-US" w:eastAsia="zh-CN"/>
        </w:rPr>
        <w:t xml:space="preserve">2 </w:t>
      </w:r>
      <w:r>
        <w:rPr>
          <w:color w:val="auto"/>
        </w:rPr>
        <w:t xml:space="preserve"> 20</w:t>
      </w:r>
      <w:r>
        <w:rPr>
          <w:rFonts w:hint="eastAsia"/>
          <w:color w:val="auto"/>
          <w:lang w:val="en-US" w:eastAsia="zh-CN"/>
        </w:rPr>
        <w:t>21</w:t>
      </w:r>
      <w:r>
        <w:rPr>
          <w:color w:val="auto"/>
        </w:rPr>
        <w:t>年</w:t>
      </w:r>
      <w:r>
        <w:rPr>
          <w:rFonts w:hint="eastAsia"/>
          <w:color w:val="auto"/>
          <w:lang w:val="en-US" w:eastAsia="zh-CN"/>
        </w:rPr>
        <w:t>紫竹路小学</w:t>
      </w:r>
      <w:r>
        <w:rPr>
          <w:rFonts w:hint="eastAsia"/>
          <w:color w:val="auto"/>
        </w:rPr>
        <w:t>项目支出明细表</w:t>
      </w:r>
    </w:p>
    <w:p w14:paraId="03020A03">
      <w:pPr>
        <w:pStyle w:val="12"/>
        <w:pageBreakBefore w:val="0"/>
        <w:kinsoku/>
        <w:wordWrap/>
        <w:overflowPunct/>
        <w:topLinePunct w:val="0"/>
        <w:autoSpaceDE/>
        <w:autoSpaceDN/>
        <w:bidi w:val="0"/>
        <w:snapToGrid w:val="0"/>
        <w:spacing w:before="60" w:line="560" w:lineRule="exact"/>
        <w:ind w:left="0" w:leftChars="0" w:firstLine="480" w:firstLineChars="200"/>
        <w:jc w:val="right"/>
        <w:outlineLvl w:val="9"/>
        <w:rPr>
          <w:rFonts w:hint="eastAsia"/>
          <w:b w:val="0"/>
          <w:bCs/>
          <w:color w:val="auto"/>
          <w:lang w:val="en-US" w:eastAsia="zh-CN"/>
        </w:rPr>
      </w:pPr>
      <w:r>
        <w:rPr>
          <w:rFonts w:hint="eastAsia"/>
          <w:b w:val="0"/>
          <w:bCs/>
          <w:color w:val="auto"/>
          <w:lang w:val="en-US" w:eastAsia="zh-CN"/>
        </w:rPr>
        <w:t>单位：万元</w:t>
      </w:r>
    </w:p>
    <w:tbl>
      <w:tblPr>
        <w:tblStyle w:val="10"/>
        <w:tblW w:w="8618" w:type="dxa"/>
        <w:tblInd w:w="96" w:type="dxa"/>
        <w:shd w:val="clear" w:color="auto" w:fill="auto"/>
        <w:tblLayout w:type="autofit"/>
        <w:tblCellMar>
          <w:top w:w="0" w:type="dxa"/>
          <w:left w:w="108" w:type="dxa"/>
          <w:bottom w:w="0" w:type="dxa"/>
          <w:right w:w="108" w:type="dxa"/>
        </w:tblCellMar>
      </w:tblPr>
      <w:tblGrid>
        <w:gridCol w:w="1006"/>
        <w:gridCol w:w="3237"/>
        <w:gridCol w:w="1528"/>
        <w:gridCol w:w="1359"/>
        <w:gridCol w:w="1488"/>
      </w:tblGrid>
      <w:tr w14:paraId="6800B112">
        <w:tblPrEx>
          <w:shd w:val="clear" w:color="auto" w:fill="auto"/>
          <w:tblCellMar>
            <w:top w:w="0" w:type="dxa"/>
            <w:left w:w="108" w:type="dxa"/>
            <w:bottom w:w="0" w:type="dxa"/>
            <w:right w:w="108" w:type="dxa"/>
          </w:tblCellMar>
        </w:tblPrEx>
        <w:trPr>
          <w:trHeight w:val="692"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AECD3">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b/>
                <w:bCs/>
                <w:i w:val="0"/>
                <w:iCs w:val="0"/>
                <w:color w:val="auto"/>
                <w:sz w:val="22"/>
                <w:szCs w:val="22"/>
                <w:u w:val="none"/>
              </w:rPr>
            </w:pPr>
            <w:r>
              <w:rPr>
                <w:rFonts w:hint="eastAsia" w:ascii="仿宋" w:hAnsi="仿宋" w:eastAsia="仿宋" w:cs="仿宋"/>
                <w:b/>
                <w:bCs/>
                <w:i w:val="0"/>
                <w:iCs w:val="0"/>
                <w:color w:val="auto"/>
                <w:kern w:val="0"/>
                <w:sz w:val="22"/>
                <w:szCs w:val="22"/>
                <w:u w:val="none"/>
                <w:lang w:val="en-US" w:eastAsia="zh-CN" w:bidi="ar"/>
              </w:rPr>
              <w:t>序号</w:t>
            </w:r>
          </w:p>
        </w:tc>
        <w:tc>
          <w:tcPr>
            <w:tcW w:w="3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5B92C">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b/>
                <w:bCs/>
                <w:i w:val="0"/>
                <w:iCs w:val="0"/>
                <w:color w:val="auto"/>
                <w:sz w:val="22"/>
                <w:szCs w:val="22"/>
                <w:u w:val="none"/>
              </w:rPr>
            </w:pPr>
            <w:r>
              <w:rPr>
                <w:rFonts w:hint="eastAsia" w:ascii="仿宋" w:hAnsi="仿宋" w:eastAsia="仿宋" w:cs="仿宋"/>
                <w:b/>
                <w:bCs/>
                <w:i w:val="0"/>
                <w:iCs w:val="0"/>
                <w:color w:val="auto"/>
                <w:kern w:val="0"/>
                <w:sz w:val="22"/>
                <w:szCs w:val="22"/>
                <w:u w:val="none"/>
                <w:lang w:val="en-US" w:eastAsia="zh-CN" w:bidi="ar"/>
              </w:rPr>
              <w:t>项目类别</w:t>
            </w:r>
            <w:r>
              <w:rPr>
                <w:rStyle w:val="13"/>
                <w:rFonts w:hint="eastAsia" w:ascii="仿宋" w:hAnsi="仿宋" w:eastAsia="仿宋" w:cs="仿宋"/>
                <w:color w:val="auto"/>
                <w:lang w:val="en-US" w:eastAsia="zh-CN" w:bidi="ar"/>
              </w:rPr>
              <w:t>/</w:t>
            </w:r>
            <w:r>
              <w:rPr>
                <w:rStyle w:val="14"/>
                <w:rFonts w:ascii="仿宋" w:hAnsi="仿宋" w:eastAsia="仿宋" w:cs="仿宋"/>
                <w:color w:val="auto"/>
                <w:lang w:val="en-US" w:eastAsia="zh-CN" w:bidi="ar"/>
              </w:rPr>
              <w:t>名称</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1882A">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b/>
                <w:bCs/>
                <w:i w:val="0"/>
                <w:iCs w:val="0"/>
                <w:color w:val="auto"/>
                <w:sz w:val="22"/>
                <w:szCs w:val="22"/>
                <w:u w:val="none"/>
              </w:rPr>
            </w:pPr>
            <w:r>
              <w:rPr>
                <w:rFonts w:hint="eastAsia" w:ascii="仿宋" w:hAnsi="仿宋" w:eastAsia="仿宋" w:cs="仿宋"/>
                <w:b/>
                <w:bCs/>
                <w:i w:val="0"/>
                <w:iCs w:val="0"/>
                <w:color w:val="auto"/>
                <w:kern w:val="0"/>
                <w:sz w:val="22"/>
                <w:szCs w:val="22"/>
                <w:u w:val="none"/>
                <w:lang w:val="en-US" w:eastAsia="zh-CN" w:bidi="ar"/>
              </w:rPr>
              <w:t>年初预算数</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5E1E9">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b/>
                <w:bCs/>
                <w:i w:val="0"/>
                <w:iCs w:val="0"/>
                <w:color w:val="auto"/>
                <w:sz w:val="22"/>
                <w:szCs w:val="22"/>
                <w:u w:val="none"/>
              </w:rPr>
            </w:pPr>
            <w:r>
              <w:rPr>
                <w:rFonts w:hint="eastAsia" w:ascii="仿宋" w:hAnsi="仿宋" w:eastAsia="仿宋" w:cs="仿宋"/>
                <w:b/>
                <w:bCs/>
                <w:i w:val="0"/>
                <w:iCs w:val="0"/>
                <w:color w:val="auto"/>
                <w:kern w:val="0"/>
                <w:sz w:val="22"/>
                <w:szCs w:val="22"/>
                <w:u w:val="none"/>
                <w:lang w:val="en-US" w:eastAsia="zh-CN" w:bidi="ar"/>
              </w:rPr>
              <w:t>实际支出数</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16B7F">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b/>
                <w:bCs/>
                <w:i w:val="0"/>
                <w:iCs w:val="0"/>
                <w:color w:val="auto"/>
                <w:sz w:val="22"/>
                <w:szCs w:val="22"/>
                <w:u w:val="none"/>
              </w:rPr>
            </w:pPr>
            <w:r>
              <w:rPr>
                <w:rFonts w:hint="eastAsia" w:ascii="仿宋" w:hAnsi="仿宋" w:eastAsia="仿宋" w:cs="仿宋"/>
                <w:b/>
                <w:bCs/>
                <w:i w:val="0"/>
                <w:iCs w:val="0"/>
                <w:color w:val="auto"/>
                <w:kern w:val="0"/>
                <w:sz w:val="22"/>
                <w:szCs w:val="22"/>
                <w:u w:val="none"/>
                <w:lang w:val="en-US" w:eastAsia="zh-CN" w:bidi="ar"/>
              </w:rPr>
              <w:t>预算执行率</w:t>
            </w:r>
          </w:p>
        </w:tc>
      </w:tr>
      <w:tr w14:paraId="694542E7">
        <w:tblPrEx>
          <w:tblCellMar>
            <w:top w:w="0" w:type="dxa"/>
            <w:left w:w="108" w:type="dxa"/>
            <w:bottom w:w="0" w:type="dxa"/>
            <w:right w:w="108" w:type="dxa"/>
          </w:tblCellMar>
        </w:tblPrEx>
        <w:trPr>
          <w:trHeight w:val="357"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39444">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1</w:t>
            </w:r>
          </w:p>
        </w:tc>
        <w:tc>
          <w:tcPr>
            <w:tcW w:w="3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6B8DE">
            <w:pPr>
              <w:keepNext w:val="0"/>
              <w:keepLines w:val="0"/>
              <w:pageBreakBefore w:val="0"/>
              <w:widowControl/>
              <w:suppressLineNumbers w:val="0"/>
              <w:wordWrap/>
              <w:overflowPunct/>
              <w:topLinePunct w:val="0"/>
              <w:bidi w:val="0"/>
              <w:spacing w:line="560" w:lineRule="exact"/>
              <w:jc w:val="left"/>
              <w:textAlignment w:val="center"/>
              <w:rPr>
                <w:rFonts w:hint="eastAsia" w:ascii="仿宋" w:hAnsi="仿宋" w:eastAsia="仿宋" w:cs="仿宋"/>
                <w:i w:val="0"/>
                <w:iCs w:val="0"/>
                <w:color w:val="auto"/>
                <w:sz w:val="22"/>
                <w:szCs w:val="22"/>
                <w:u w:val="none"/>
              </w:rPr>
            </w:pPr>
            <w:r>
              <w:rPr>
                <w:rFonts w:hint="eastAsia" w:ascii="宋体" w:hAnsi="宋体" w:eastAsia="宋体" w:cs="宋体"/>
                <w:i w:val="0"/>
                <w:iCs w:val="0"/>
                <w:color w:val="000000"/>
                <w:kern w:val="0"/>
                <w:sz w:val="20"/>
                <w:szCs w:val="20"/>
                <w:u w:val="none"/>
                <w:lang w:val="en-US" w:eastAsia="zh-CN" w:bidi="ar"/>
              </w:rPr>
              <w:t xml:space="preserve"> 生均公用经费 </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D6293">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 xml:space="preserve"> 110</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1</w:t>
            </w:r>
            <w:r>
              <w:rPr>
                <w:rFonts w:hint="eastAsia" w:ascii="仿宋" w:hAnsi="仿宋" w:eastAsia="仿宋" w:cs="仿宋"/>
                <w:i w:val="0"/>
                <w:iCs w:val="0"/>
                <w:color w:val="auto"/>
                <w:kern w:val="0"/>
                <w:sz w:val="22"/>
                <w:szCs w:val="22"/>
                <w:u w:val="none"/>
                <w:lang w:val="en-US" w:eastAsia="zh-CN" w:bidi="ar"/>
              </w:rPr>
              <w:t>0</w:t>
            </w:r>
            <w:r>
              <w:rPr>
                <w:rFonts w:hint="default" w:ascii="仿宋" w:hAnsi="仿宋" w:eastAsia="仿宋" w:cs="仿宋"/>
                <w:i w:val="0"/>
                <w:iCs w:val="0"/>
                <w:color w:val="auto"/>
                <w:kern w:val="0"/>
                <w:sz w:val="22"/>
                <w:szCs w:val="22"/>
                <w:u w:val="none"/>
                <w:lang w:val="en-US" w:eastAsia="zh-CN" w:bidi="ar"/>
              </w:rPr>
              <w:t xml:space="preserve"> </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8BAC4">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107.50</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B4177">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97.64%</w:t>
            </w:r>
          </w:p>
        </w:tc>
      </w:tr>
      <w:tr w14:paraId="4F018AB4">
        <w:tblPrEx>
          <w:tblCellMar>
            <w:top w:w="0" w:type="dxa"/>
            <w:left w:w="108" w:type="dxa"/>
            <w:bottom w:w="0" w:type="dxa"/>
            <w:right w:w="108" w:type="dxa"/>
          </w:tblCellMar>
        </w:tblPrEx>
        <w:trPr>
          <w:trHeight w:val="357"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22170">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2</w:t>
            </w:r>
          </w:p>
        </w:tc>
        <w:tc>
          <w:tcPr>
            <w:tcW w:w="3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48DB2">
            <w:pPr>
              <w:keepNext w:val="0"/>
              <w:keepLines w:val="0"/>
              <w:pageBreakBefore w:val="0"/>
              <w:widowControl/>
              <w:suppressLineNumbers w:val="0"/>
              <w:wordWrap/>
              <w:overflowPunct/>
              <w:topLinePunct w:val="0"/>
              <w:bidi w:val="0"/>
              <w:spacing w:line="560" w:lineRule="exact"/>
              <w:jc w:val="left"/>
              <w:textAlignment w:val="center"/>
              <w:rPr>
                <w:rFonts w:hint="eastAsia" w:ascii="仿宋" w:hAnsi="仿宋" w:eastAsia="仿宋" w:cs="仿宋"/>
                <w:i w:val="0"/>
                <w:iCs w:val="0"/>
                <w:color w:val="auto"/>
                <w:sz w:val="22"/>
                <w:szCs w:val="22"/>
                <w:u w:val="none"/>
              </w:rPr>
            </w:pPr>
            <w:r>
              <w:rPr>
                <w:rFonts w:hint="default" w:ascii="Times New Roman" w:hAnsi="Times New Roman" w:eastAsia="宋体" w:cs="Times New Roman"/>
                <w:i w:val="0"/>
                <w:iCs w:val="0"/>
                <w:color w:val="000000"/>
                <w:kern w:val="0"/>
                <w:sz w:val="20"/>
                <w:szCs w:val="20"/>
                <w:u w:val="none"/>
                <w:lang w:val="en-US" w:eastAsia="zh-CN" w:bidi="ar"/>
              </w:rPr>
              <w:t xml:space="preserve"> 免作业本费 </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E767F">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 xml:space="preserve"> 2</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3</w:t>
            </w:r>
            <w:r>
              <w:rPr>
                <w:rFonts w:hint="eastAsia" w:ascii="仿宋" w:hAnsi="仿宋" w:eastAsia="仿宋" w:cs="仿宋"/>
                <w:i w:val="0"/>
                <w:iCs w:val="0"/>
                <w:color w:val="auto"/>
                <w:kern w:val="0"/>
                <w:sz w:val="22"/>
                <w:szCs w:val="22"/>
                <w:u w:val="none"/>
                <w:lang w:val="en-US" w:eastAsia="zh-CN" w:bidi="ar"/>
              </w:rPr>
              <w:t>9</w:t>
            </w:r>
            <w:r>
              <w:rPr>
                <w:rFonts w:hint="default" w:ascii="仿宋" w:hAnsi="仿宋" w:eastAsia="仿宋" w:cs="仿宋"/>
                <w:i w:val="0"/>
                <w:iCs w:val="0"/>
                <w:color w:val="auto"/>
                <w:kern w:val="0"/>
                <w:sz w:val="22"/>
                <w:szCs w:val="22"/>
                <w:u w:val="none"/>
                <w:lang w:val="en-US" w:eastAsia="zh-CN" w:bidi="ar"/>
              </w:rPr>
              <w:t xml:space="preserve"> </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2AC1F">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2.39</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4D905">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w:t>
            </w:r>
          </w:p>
        </w:tc>
      </w:tr>
      <w:tr w14:paraId="74F8CDCC">
        <w:tblPrEx>
          <w:tblCellMar>
            <w:top w:w="0" w:type="dxa"/>
            <w:left w:w="108" w:type="dxa"/>
            <w:bottom w:w="0" w:type="dxa"/>
            <w:right w:w="108" w:type="dxa"/>
          </w:tblCellMar>
        </w:tblPrEx>
        <w:trPr>
          <w:trHeight w:val="357"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C5E1D">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3</w:t>
            </w:r>
          </w:p>
        </w:tc>
        <w:tc>
          <w:tcPr>
            <w:tcW w:w="3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717D6">
            <w:pPr>
              <w:keepNext w:val="0"/>
              <w:keepLines w:val="0"/>
              <w:pageBreakBefore w:val="0"/>
              <w:widowControl/>
              <w:suppressLineNumbers w:val="0"/>
              <w:wordWrap/>
              <w:overflowPunct/>
              <w:topLinePunct w:val="0"/>
              <w:bidi w:val="0"/>
              <w:spacing w:line="560" w:lineRule="exact"/>
              <w:jc w:val="left"/>
              <w:textAlignment w:val="center"/>
              <w:rPr>
                <w:rFonts w:hint="eastAsia" w:ascii="仿宋" w:hAnsi="仿宋" w:eastAsia="仿宋" w:cs="仿宋"/>
                <w:i w:val="0"/>
                <w:iCs w:val="0"/>
                <w:color w:val="auto"/>
                <w:sz w:val="22"/>
                <w:szCs w:val="22"/>
                <w:u w:val="none"/>
              </w:rPr>
            </w:pPr>
            <w:r>
              <w:rPr>
                <w:rFonts w:hint="default" w:ascii="Times New Roman" w:hAnsi="Times New Roman" w:eastAsia="宋体" w:cs="Times New Roman"/>
                <w:i w:val="0"/>
                <w:iCs w:val="0"/>
                <w:color w:val="000000"/>
                <w:kern w:val="0"/>
                <w:sz w:val="20"/>
                <w:szCs w:val="20"/>
                <w:u w:val="none"/>
                <w:lang w:val="en-US" w:eastAsia="zh-CN" w:bidi="ar"/>
              </w:rPr>
              <w:t xml:space="preserve"> 2021教育专项发展资金 </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9DE0F">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 xml:space="preserve"> 25</w:t>
            </w:r>
            <w:r>
              <w:rPr>
                <w:rFonts w:hint="eastAsia" w:ascii="仿宋" w:hAnsi="仿宋" w:eastAsia="仿宋" w:cs="仿宋"/>
                <w:i w:val="0"/>
                <w:iCs w:val="0"/>
                <w:color w:val="auto"/>
                <w:kern w:val="0"/>
                <w:sz w:val="22"/>
                <w:szCs w:val="22"/>
                <w:u w:val="none"/>
                <w:lang w:val="en-US" w:eastAsia="zh-CN" w:bidi="ar"/>
              </w:rPr>
              <w:t>.00</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FC416">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25.00</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2DAB8">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w:t>
            </w:r>
          </w:p>
        </w:tc>
      </w:tr>
      <w:tr w14:paraId="69D6475F">
        <w:tblPrEx>
          <w:tblCellMar>
            <w:top w:w="0" w:type="dxa"/>
            <w:left w:w="108" w:type="dxa"/>
            <w:bottom w:w="0" w:type="dxa"/>
            <w:right w:w="108" w:type="dxa"/>
          </w:tblCellMar>
        </w:tblPrEx>
        <w:trPr>
          <w:trHeight w:val="357"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ADA71">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4</w:t>
            </w:r>
          </w:p>
        </w:tc>
        <w:tc>
          <w:tcPr>
            <w:tcW w:w="3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6F7F5">
            <w:pPr>
              <w:keepNext w:val="0"/>
              <w:keepLines w:val="0"/>
              <w:pageBreakBefore w:val="0"/>
              <w:widowControl/>
              <w:suppressLineNumbers w:val="0"/>
              <w:wordWrap/>
              <w:overflowPunct/>
              <w:topLinePunct w:val="0"/>
              <w:bidi w:val="0"/>
              <w:spacing w:line="560" w:lineRule="exact"/>
              <w:jc w:val="left"/>
              <w:textAlignment w:val="center"/>
              <w:rPr>
                <w:rFonts w:hint="eastAsia" w:ascii="仿宋" w:hAnsi="仿宋" w:eastAsia="仿宋" w:cs="仿宋"/>
                <w:i w:val="0"/>
                <w:iCs w:val="0"/>
                <w:color w:val="auto"/>
                <w:sz w:val="22"/>
                <w:szCs w:val="22"/>
                <w:u w:val="none"/>
              </w:rPr>
            </w:pPr>
            <w:r>
              <w:rPr>
                <w:rFonts w:hint="default" w:ascii="Times New Roman" w:hAnsi="Times New Roman" w:eastAsia="宋体" w:cs="Times New Roman"/>
                <w:i w:val="0"/>
                <w:iCs w:val="0"/>
                <w:color w:val="000000"/>
                <w:kern w:val="0"/>
                <w:sz w:val="20"/>
                <w:szCs w:val="20"/>
                <w:u w:val="none"/>
                <w:lang w:val="en-US" w:eastAsia="zh-CN" w:bidi="ar"/>
              </w:rPr>
              <w:t xml:space="preserve"> 成遂合作专项经费 </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6C4C6">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 xml:space="preserve"> 10</w:t>
            </w:r>
            <w:r>
              <w:rPr>
                <w:rFonts w:hint="eastAsia" w:ascii="仿宋" w:hAnsi="仿宋" w:eastAsia="仿宋" w:cs="仿宋"/>
                <w:i w:val="0"/>
                <w:iCs w:val="0"/>
                <w:color w:val="auto"/>
                <w:kern w:val="0"/>
                <w:sz w:val="22"/>
                <w:szCs w:val="22"/>
                <w:u w:val="none"/>
                <w:lang w:val="en-US" w:eastAsia="zh-CN" w:bidi="ar"/>
              </w:rPr>
              <w:t>.00</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D285F">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0.00</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0123C">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0%</w:t>
            </w:r>
          </w:p>
        </w:tc>
      </w:tr>
      <w:tr w14:paraId="07EF7847">
        <w:tblPrEx>
          <w:tblCellMar>
            <w:top w:w="0" w:type="dxa"/>
            <w:left w:w="108" w:type="dxa"/>
            <w:bottom w:w="0" w:type="dxa"/>
            <w:right w:w="108" w:type="dxa"/>
          </w:tblCellMar>
        </w:tblPrEx>
        <w:trPr>
          <w:trHeight w:val="422"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74BBF">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5</w:t>
            </w:r>
          </w:p>
        </w:tc>
        <w:tc>
          <w:tcPr>
            <w:tcW w:w="3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F25E1">
            <w:pPr>
              <w:keepNext w:val="0"/>
              <w:keepLines w:val="0"/>
              <w:pageBreakBefore w:val="0"/>
              <w:widowControl/>
              <w:suppressLineNumbers w:val="0"/>
              <w:wordWrap/>
              <w:overflowPunct/>
              <w:topLinePunct w:val="0"/>
              <w:bidi w:val="0"/>
              <w:spacing w:line="560" w:lineRule="exact"/>
              <w:jc w:val="left"/>
              <w:textAlignment w:val="center"/>
              <w:rPr>
                <w:rFonts w:hint="eastAsia" w:ascii="仿宋" w:hAnsi="仿宋" w:eastAsia="仿宋" w:cs="仿宋"/>
                <w:i w:val="0"/>
                <w:iCs w:val="0"/>
                <w:color w:val="auto"/>
                <w:sz w:val="22"/>
                <w:szCs w:val="22"/>
                <w:u w:val="none"/>
              </w:rPr>
            </w:pPr>
            <w:r>
              <w:rPr>
                <w:rFonts w:hint="default" w:ascii="Times New Roman" w:hAnsi="Times New Roman" w:eastAsia="宋体" w:cs="Times New Roman"/>
                <w:i w:val="0"/>
                <w:iCs w:val="0"/>
                <w:color w:val="000000"/>
                <w:kern w:val="0"/>
                <w:sz w:val="20"/>
                <w:szCs w:val="20"/>
                <w:u w:val="none"/>
                <w:lang w:val="en-US" w:eastAsia="zh-CN" w:bidi="ar"/>
              </w:rPr>
              <w:t xml:space="preserve"> 2021市级教育发展专项资金 </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6AB2F">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 xml:space="preserve"> 20.00 </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EB8A7">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0.00</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EB57F">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0%</w:t>
            </w:r>
          </w:p>
        </w:tc>
      </w:tr>
      <w:tr w14:paraId="68B20808">
        <w:tblPrEx>
          <w:tblCellMar>
            <w:top w:w="0" w:type="dxa"/>
            <w:left w:w="108" w:type="dxa"/>
            <w:bottom w:w="0" w:type="dxa"/>
            <w:right w:w="108" w:type="dxa"/>
          </w:tblCellMar>
        </w:tblPrEx>
        <w:trPr>
          <w:trHeight w:val="422" w:hRule="atLeast"/>
        </w:trPr>
        <w:tc>
          <w:tcPr>
            <w:tcW w:w="4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6D7D8A">
            <w:pPr>
              <w:keepNext w:val="0"/>
              <w:keepLines w:val="0"/>
              <w:pageBreakBefore w:val="0"/>
              <w:widowControl/>
              <w:suppressLineNumbers w:val="0"/>
              <w:wordWrap/>
              <w:overflowPunct/>
              <w:topLinePunct w:val="0"/>
              <w:bidi w:val="0"/>
              <w:spacing w:line="560" w:lineRule="exact"/>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仿宋" w:hAnsi="仿宋" w:eastAsia="仿宋" w:cs="仿宋"/>
                <w:i w:val="0"/>
                <w:iCs w:val="0"/>
                <w:color w:val="auto"/>
                <w:kern w:val="0"/>
                <w:sz w:val="22"/>
                <w:szCs w:val="22"/>
                <w:u w:val="none"/>
                <w:lang w:val="en-US" w:eastAsia="zh-CN" w:bidi="ar"/>
              </w:rPr>
              <w:t>合计</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F8429">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fldChar w:fldCharType="begin"/>
            </w:r>
            <w:r>
              <w:rPr>
                <w:rFonts w:hint="default" w:ascii="仿宋" w:hAnsi="仿宋" w:eastAsia="仿宋" w:cs="仿宋"/>
                <w:i w:val="0"/>
                <w:iCs w:val="0"/>
                <w:color w:val="auto"/>
                <w:kern w:val="0"/>
                <w:sz w:val="22"/>
                <w:szCs w:val="22"/>
                <w:u w:val="none"/>
                <w:lang w:val="en-US" w:eastAsia="zh-CN" w:bidi="ar"/>
              </w:rPr>
              <w:instrText xml:space="preserve"> = sum(C2:C6) \* MERGEFORMAT </w:instrText>
            </w:r>
            <w:r>
              <w:rPr>
                <w:rFonts w:hint="default" w:ascii="仿宋" w:hAnsi="仿宋" w:eastAsia="仿宋" w:cs="仿宋"/>
                <w:i w:val="0"/>
                <w:iCs w:val="0"/>
                <w:color w:val="auto"/>
                <w:kern w:val="0"/>
                <w:sz w:val="22"/>
                <w:szCs w:val="22"/>
                <w:u w:val="none"/>
                <w:lang w:val="en-US" w:eastAsia="zh-CN" w:bidi="ar"/>
              </w:rPr>
              <w:fldChar w:fldCharType="separate"/>
            </w:r>
            <w:r>
              <w:rPr>
                <w:rFonts w:hint="default" w:ascii="仿宋" w:hAnsi="仿宋" w:eastAsia="仿宋" w:cs="仿宋"/>
                <w:i w:val="0"/>
                <w:iCs w:val="0"/>
                <w:color w:val="auto"/>
                <w:kern w:val="0"/>
                <w:sz w:val="22"/>
                <w:szCs w:val="22"/>
                <w:u w:val="none"/>
                <w:lang w:val="en-US" w:eastAsia="zh-CN" w:bidi="ar"/>
              </w:rPr>
              <w:t>167.49</w:t>
            </w:r>
            <w:r>
              <w:rPr>
                <w:rFonts w:hint="default" w:ascii="仿宋" w:hAnsi="仿宋" w:eastAsia="仿宋" w:cs="仿宋"/>
                <w:i w:val="0"/>
                <w:iCs w:val="0"/>
                <w:color w:val="auto"/>
                <w:kern w:val="0"/>
                <w:sz w:val="22"/>
                <w:szCs w:val="22"/>
                <w:u w:val="none"/>
                <w:lang w:val="en-US" w:eastAsia="zh-CN" w:bidi="ar"/>
              </w:rPr>
              <w:fldChar w:fldCharType="end"/>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42638">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fldChar w:fldCharType="begin"/>
            </w:r>
            <w:r>
              <w:rPr>
                <w:rFonts w:hint="eastAsia" w:ascii="仿宋" w:hAnsi="仿宋" w:eastAsia="仿宋" w:cs="仿宋"/>
                <w:i w:val="0"/>
                <w:iCs w:val="0"/>
                <w:color w:val="auto"/>
                <w:kern w:val="0"/>
                <w:sz w:val="22"/>
                <w:szCs w:val="22"/>
                <w:u w:val="none"/>
                <w:lang w:val="en-US" w:eastAsia="zh-CN" w:bidi="ar"/>
              </w:rPr>
              <w:instrText xml:space="preserve"> = sum(D2:D6) \* MERGEFORMAT </w:instrText>
            </w:r>
            <w:r>
              <w:rPr>
                <w:rFonts w:hint="eastAsia" w:ascii="仿宋" w:hAnsi="仿宋" w:eastAsia="仿宋" w:cs="仿宋"/>
                <w:i w:val="0"/>
                <w:iCs w:val="0"/>
                <w:color w:val="auto"/>
                <w:kern w:val="0"/>
                <w:sz w:val="22"/>
                <w:szCs w:val="22"/>
                <w:u w:val="none"/>
                <w:lang w:val="en-US" w:eastAsia="zh-CN" w:bidi="ar"/>
              </w:rPr>
              <w:fldChar w:fldCharType="separate"/>
            </w:r>
            <w:r>
              <w:rPr>
                <w:rFonts w:hint="eastAsia" w:ascii="仿宋" w:hAnsi="仿宋" w:eastAsia="仿宋" w:cs="仿宋"/>
                <w:i w:val="0"/>
                <w:iCs w:val="0"/>
                <w:color w:val="auto"/>
                <w:kern w:val="0"/>
                <w:sz w:val="22"/>
                <w:szCs w:val="22"/>
                <w:u w:val="none"/>
                <w:lang w:val="en-US" w:eastAsia="zh-CN" w:bidi="ar"/>
              </w:rPr>
              <w:t>134.89</w:t>
            </w:r>
            <w:r>
              <w:rPr>
                <w:rFonts w:hint="eastAsia" w:ascii="仿宋" w:hAnsi="仿宋" w:eastAsia="仿宋" w:cs="仿宋"/>
                <w:i w:val="0"/>
                <w:iCs w:val="0"/>
                <w:color w:val="auto"/>
                <w:kern w:val="0"/>
                <w:sz w:val="22"/>
                <w:szCs w:val="22"/>
                <w:u w:val="none"/>
                <w:lang w:val="en-US" w:eastAsia="zh-CN" w:bidi="ar"/>
              </w:rPr>
              <w:fldChar w:fldCharType="end"/>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C3C3F">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80.54%</w:t>
            </w:r>
          </w:p>
        </w:tc>
      </w:tr>
    </w:tbl>
    <w:p w14:paraId="2C166A6E">
      <w:pPr>
        <w:pStyle w:val="3"/>
        <w:pageBreakBefore w:val="0"/>
        <w:kinsoku/>
        <w:wordWrap/>
        <w:overflowPunct/>
        <w:topLinePunct w:val="0"/>
        <w:autoSpaceDE/>
        <w:autoSpaceDN/>
        <w:bidi w:val="0"/>
        <w:spacing w:line="560" w:lineRule="exact"/>
        <w:ind w:left="0" w:firstLine="640" w:firstLineChars="200"/>
        <w:rPr>
          <w:rFonts w:hint="eastAsia"/>
          <w:color w:val="auto"/>
          <w:szCs w:val="32"/>
          <w:lang w:val="en-US" w:eastAsia="zh-CN"/>
        </w:rPr>
      </w:pPr>
      <w:bookmarkStart w:id="488" w:name="_Toc19554"/>
      <w:r>
        <w:rPr>
          <w:rFonts w:hint="eastAsia"/>
          <w:color w:val="auto"/>
          <w:szCs w:val="32"/>
          <w:lang w:val="en-US" w:eastAsia="zh-CN"/>
        </w:rPr>
        <w:t>绩效评价工作开展情况</w:t>
      </w:r>
      <w:bookmarkEnd w:id="488"/>
    </w:p>
    <w:p w14:paraId="49ABD402">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1"/>
        <w:rPr>
          <w:rFonts w:ascii="楷体" w:hAnsi="楷体" w:eastAsia="楷体"/>
          <w:b/>
          <w:bCs/>
          <w:color w:val="auto"/>
          <w:sz w:val="32"/>
          <w:szCs w:val="32"/>
          <w:highlight w:val="none"/>
        </w:rPr>
      </w:pPr>
      <w:bookmarkStart w:id="489" w:name="_Toc2062"/>
      <w:r>
        <w:rPr>
          <w:rFonts w:hint="eastAsia" w:ascii="楷体" w:hAnsi="楷体" w:eastAsia="楷体"/>
          <w:b/>
          <w:bCs/>
          <w:color w:val="auto"/>
          <w:sz w:val="32"/>
          <w:szCs w:val="32"/>
          <w:highlight w:val="none"/>
        </w:rPr>
        <w:t>（一）绩效评价目的</w:t>
      </w:r>
      <w:bookmarkEnd w:id="489"/>
    </w:p>
    <w:p w14:paraId="39650AE3">
      <w:pPr>
        <w:pStyle w:val="8"/>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color w:val="auto"/>
          <w:highlight w:val="none"/>
        </w:rPr>
      </w:pPr>
      <w:r>
        <w:rPr>
          <w:rFonts w:hint="eastAsia" w:ascii="仿宋" w:hAnsi="仿宋" w:eastAsia="仿宋" w:cs="仿宋"/>
          <w:bCs/>
          <w:color w:val="auto"/>
          <w:sz w:val="32"/>
          <w:szCs w:val="32"/>
          <w:highlight w:val="none"/>
        </w:rPr>
        <w:t>为全面贯彻落实《中共中央国务院关于全面实施预算绩效管理的意见》（中发〔2018〕34号）、《四川省关于全面实施预算绩效管理的实施意见》（川委发〔2019〕8号）</w:t>
      </w:r>
      <w:r>
        <w:rPr>
          <w:rFonts w:hint="eastAsia" w:ascii="仿宋" w:hAnsi="仿宋" w:eastAsia="仿宋" w:cs="仿宋"/>
          <w:bCs/>
          <w:color w:val="auto"/>
          <w:sz w:val="32"/>
          <w:szCs w:val="32"/>
          <w:highlight w:val="none"/>
          <w:lang w:eastAsia="zh-CN"/>
        </w:rPr>
        <w:t>、</w:t>
      </w:r>
      <w:r>
        <w:rPr>
          <w:rFonts w:hint="eastAsia" w:ascii="仿宋" w:hAnsi="仿宋" w:eastAsia="仿宋" w:cs="仿宋"/>
          <w:bCs/>
          <w:color w:val="auto"/>
          <w:sz w:val="32"/>
          <w:szCs w:val="32"/>
          <w:highlight w:val="none"/>
        </w:rPr>
        <w:t>《关于开展2022年财政重点绩效评价工作的通知》（遂东区财发〔2022〕8号）等文件</w:t>
      </w:r>
      <w:r>
        <w:rPr>
          <w:rFonts w:hint="eastAsia" w:ascii="仿宋" w:hAnsi="仿宋" w:eastAsia="仿宋" w:cs="仿宋"/>
          <w:bCs/>
          <w:color w:val="auto"/>
          <w:sz w:val="32"/>
          <w:szCs w:val="32"/>
          <w:highlight w:val="none"/>
          <w:lang w:val="en-US" w:eastAsia="zh-CN"/>
        </w:rPr>
        <w:t>精神</w:t>
      </w:r>
      <w:r>
        <w:rPr>
          <w:rFonts w:hint="eastAsia" w:ascii="仿宋" w:hAnsi="仿宋" w:eastAsia="仿宋" w:cs="仿宋"/>
          <w:bCs/>
          <w:color w:val="auto"/>
          <w:sz w:val="32"/>
          <w:szCs w:val="32"/>
          <w:highlight w:val="none"/>
        </w:rPr>
        <w:t>，对</w:t>
      </w:r>
      <w:r>
        <w:rPr>
          <w:rFonts w:hint="eastAsia" w:ascii="仿宋" w:hAnsi="仿宋" w:eastAsia="仿宋" w:cs="仿宋"/>
          <w:bCs/>
          <w:color w:val="auto"/>
          <w:sz w:val="32"/>
          <w:szCs w:val="32"/>
          <w:highlight w:val="none"/>
          <w:lang w:val="en-US" w:eastAsia="zh-CN"/>
        </w:rPr>
        <w:t>紫竹路小学</w:t>
      </w:r>
      <w:r>
        <w:rPr>
          <w:rFonts w:hint="eastAsia" w:ascii="仿宋" w:hAnsi="仿宋" w:eastAsia="仿宋" w:cs="仿宋"/>
          <w:bCs/>
          <w:color w:val="auto"/>
          <w:sz w:val="32"/>
          <w:szCs w:val="32"/>
          <w:highlight w:val="none"/>
        </w:rPr>
        <w:t>的</w:t>
      </w:r>
      <w:r>
        <w:rPr>
          <w:rFonts w:hint="eastAsia" w:ascii="仿宋" w:hAnsi="仿宋" w:eastAsia="仿宋" w:cs="仿宋"/>
          <w:bCs/>
          <w:color w:val="auto"/>
          <w:sz w:val="32"/>
          <w:szCs w:val="32"/>
          <w:highlight w:val="none"/>
          <w:lang w:val="en-US" w:eastAsia="zh-CN"/>
        </w:rPr>
        <w:t>基本履职绩效、重点履职绩效</w:t>
      </w:r>
      <w:r>
        <w:rPr>
          <w:rFonts w:hint="eastAsia" w:ascii="仿宋" w:hAnsi="仿宋" w:eastAsia="仿宋" w:cs="仿宋"/>
          <w:bCs/>
          <w:color w:val="auto"/>
          <w:sz w:val="32"/>
          <w:szCs w:val="32"/>
          <w:highlight w:val="none"/>
        </w:rPr>
        <w:t>情况</w:t>
      </w:r>
      <w:r>
        <w:rPr>
          <w:rFonts w:hint="eastAsia" w:ascii="仿宋" w:hAnsi="仿宋" w:eastAsia="仿宋" w:cs="仿宋"/>
          <w:bCs/>
          <w:color w:val="auto"/>
          <w:sz w:val="32"/>
          <w:szCs w:val="32"/>
          <w:highlight w:val="none"/>
          <w:lang w:val="en-US" w:eastAsia="zh-CN"/>
        </w:rPr>
        <w:t>和满意度</w:t>
      </w:r>
      <w:r>
        <w:rPr>
          <w:rFonts w:hint="eastAsia" w:ascii="仿宋" w:hAnsi="仿宋" w:eastAsia="仿宋" w:cs="仿宋"/>
          <w:bCs/>
          <w:color w:val="auto"/>
          <w:sz w:val="32"/>
          <w:szCs w:val="32"/>
          <w:highlight w:val="none"/>
        </w:rPr>
        <w:t>开展绩效评价。通过评价工作的实施，</w:t>
      </w:r>
      <w:r>
        <w:rPr>
          <w:rFonts w:hint="eastAsia" w:ascii="仿宋" w:hAnsi="仿宋" w:eastAsia="仿宋"/>
          <w:bCs/>
          <w:color w:val="auto"/>
          <w:sz w:val="32"/>
          <w:szCs w:val="32"/>
          <w:highlight w:val="none"/>
        </w:rPr>
        <w:t>全面反映</w:t>
      </w:r>
      <w:r>
        <w:rPr>
          <w:rFonts w:hint="eastAsia" w:ascii="仿宋" w:hAnsi="仿宋" w:eastAsia="仿宋" w:cs="仿宋"/>
          <w:bCs/>
          <w:color w:val="auto"/>
          <w:sz w:val="32"/>
          <w:szCs w:val="32"/>
          <w:highlight w:val="none"/>
          <w:lang w:val="en-US" w:eastAsia="zh-CN"/>
        </w:rPr>
        <w:t>紫竹路小学</w:t>
      </w:r>
      <w:r>
        <w:rPr>
          <w:rFonts w:hint="eastAsia" w:ascii="仿宋" w:hAnsi="仿宋" w:eastAsia="仿宋"/>
          <w:bCs/>
          <w:color w:val="auto"/>
          <w:sz w:val="32"/>
          <w:szCs w:val="32"/>
          <w:highlight w:val="none"/>
        </w:rPr>
        <w:t>本级预算管理和核心业务实施效果，</w:t>
      </w:r>
      <w:r>
        <w:rPr>
          <w:rFonts w:hint="eastAsia" w:ascii="仿宋" w:hAnsi="仿宋" w:eastAsia="仿宋" w:cs="仿宋"/>
          <w:bCs/>
          <w:color w:val="auto"/>
          <w:sz w:val="32"/>
          <w:szCs w:val="32"/>
          <w:highlight w:val="none"/>
        </w:rPr>
        <w:t>总结经验、发现问题、剖析原因、提出改进建议，</w:t>
      </w:r>
      <w:r>
        <w:rPr>
          <w:rFonts w:hint="eastAsia" w:ascii="仿宋" w:hAnsi="仿宋" w:eastAsia="仿宋"/>
          <w:bCs/>
          <w:color w:val="auto"/>
          <w:sz w:val="32"/>
          <w:szCs w:val="32"/>
          <w:highlight w:val="none"/>
        </w:rPr>
        <w:t>促进单位科学决策、规范管理，提高部门整体绩效水平及财政资源配置效率和使用效益。</w:t>
      </w:r>
    </w:p>
    <w:p w14:paraId="67EE9CD7">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1"/>
        <w:rPr>
          <w:rFonts w:ascii="楷体" w:hAnsi="楷体" w:eastAsia="楷体"/>
          <w:b/>
          <w:bCs/>
          <w:color w:val="auto"/>
          <w:sz w:val="32"/>
          <w:szCs w:val="32"/>
        </w:rPr>
      </w:pPr>
      <w:bookmarkStart w:id="490" w:name="_Toc25188"/>
      <w:r>
        <w:rPr>
          <w:rFonts w:hint="eastAsia" w:ascii="楷体" w:hAnsi="楷体" w:eastAsia="楷体"/>
          <w:b/>
          <w:bCs/>
          <w:color w:val="auto"/>
          <w:sz w:val="32"/>
          <w:szCs w:val="32"/>
        </w:rPr>
        <w:t>（二）绩效评价原则、方法与标准</w:t>
      </w:r>
      <w:bookmarkEnd w:id="490"/>
    </w:p>
    <w:p w14:paraId="43A5FEBB">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2"/>
        <w:rPr>
          <w:rFonts w:hint="eastAsia" w:ascii="仿宋" w:hAnsi="仿宋" w:eastAsia="仿宋" w:cs="仿宋"/>
          <w:b/>
          <w:color w:val="auto"/>
          <w:sz w:val="32"/>
          <w:szCs w:val="32"/>
        </w:rPr>
      </w:pPr>
      <w:r>
        <w:rPr>
          <w:rFonts w:ascii="仿宋" w:hAnsi="仿宋" w:eastAsia="仿宋" w:cs="仿宋"/>
          <w:b/>
          <w:color w:val="auto"/>
          <w:sz w:val="32"/>
          <w:szCs w:val="32"/>
        </w:rPr>
        <w:t>1.</w:t>
      </w:r>
      <w:r>
        <w:rPr>
          <w:rFonts w:hint="eastAsia" w:ascii="仿宋" w:hAnsi="仿宋" w:eastAsia="仿宋" w:cs="仿宋"/>
          <w:b/>
          <w:color w:val="auto"/>
          <w:sz w:val="32"/>
          <w:szCs w:val="32"/>
        </w:rPr>
        <w:t>评价原则</w:t>
      </w:r>
    </w:p>
    <w:p w14:paraId="4AB9F2F3">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本次评价工作本着问题导向、系统评价、科学客观、讲求绩效的原则，采用全面评价和重点评价相结合、现场评价和非现场评价相结合、定性分析与定量分析相结合的方式，对</w:t>
      </w:r>
      <w:r>
        <w:rPr>
          <w:rFonts w:hint="eastAsia" w:ascii="仿宋" w:hAnsi="仿宋" w:eastAsia="仿宋" w:cs="仿宋"/>
          <w:bCs/>
          <w:color w:val="auto"/>
          <w:sz w:val="32"/>
          <w:szCs w:val="32"/>
          <w:lang w:val="en-US" w:eastAsia="zh-CN"/>
        </w:rPr>
        <w:t>紫竹路小学</w:t>
      </w:r>
      <w:r>
        <w:rPr>
          <w:rFonts w:hint="eastAsia" w:ascii="仿宋" w:hAnsi="仿宋" w:eastAsia="仿宋" w:cs="仿宋"/>
          <w:bCs/>
          <w:color w:val="auto"/>
          <w:sz w:val="32"/>
          <w:szCs w:val="32"/>
        </w:rPr>
        <w:t>整体的</w:t>
      </w:r>
      <w:r>
        <w:rPr>
          <w:rFonts w:hint="eastAsia" w:ascii="仿宋" w:hAnsi="仿宋" w:eastAsia="仿宋" w:cs="仿宋"/>
          <w:bCs/>
          <w:color w:val="auto"/>
          <w:sz w:val="32"/>
          <w:szCs w:val="32"/>
          <w:lang w:val="en-US" w:eastAsia="zh-CN"/>
        </w:rPr>
        <w:t>基本履职绩效和重点履职绩效</w:t>
      </w:r>
      <w:r>
        <w:rPr>
          <w:rFonts w:hint="eastAsia" w:ascii="仿宋" w:hAnsi="仿宋" w:eastAsia="仿宋" w:cs="仿宋"/>
          <w:bCs/>
          <w:color w:val="auto"/>
          <w:sz w:val="32"/>
          <w:szCs w:val="32"/>
        </w:rPr>
        <w:t>情况开展绩效评价</w:t>
      </w:r>
    </w:p>
    <w:p w14:paraId="7F712FA2">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2"/>
        <w:rPr>
          <w:rFonts w:ascii="仿宋" w:hAnsi="仿宋" w:eastAsia="仿宋" w:cs="仿宋"/>
          <w:b/>
          <w:color w:val="auto"/>
          <w:sz w:val="32"/>
          <w:szCs w:val="32"/>
        </w:rPr>
      </w:pPr>
      <w:r>
        <w:rPr>
          <w:rFonts w:ascii="仿宋" w:hAnsi="仿宋" w:eastAsia="仿宋" w:cs="仿宋"/>
          <w:b/>
          <w:color w:val="auto"/>
          <w:sz w:val="32"/>
          <w:szCs w:val="32"/>
        </w:rPr>
        <w:t>2.</w:t>
      </w:r>
      <w:r>
        <w:rPr>
          <w:rFonts w:hint="eastAsia" w:ascii="仿宋" w:hAnsi="仿宋" w:eastAsia="仿宋" w:cs="仿宋"/>
          <w:b/>
          <w:color w:val="auto"/>
          <w:sz w:val="32"/>
          <w:szCs w:val="32"/>
        </w:rPr>
        <w:t>评价方法</w:t>
      </w:r>
    </w:p>
    <w:p w14:paraId="4CD19FD1">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围绕</w:t>
      </w:r>
      <w:r>
        <w:rPr>
          <w:rFonts w:hint="eastAsia" w:ascii="仿宋" w:hAnsi="仿宋" w:eastAsia="仿宋" w:cs="仿宋"/>
          <w:bCs/>
          <w:color w:val="auto"/>
          <w:sz w:val="32"/>
          <w:szCs w:val="32"/>
          <w:highlight w:val="none"/>
          <w:lang w:val="en-US" w:eastAsia="zh-CN"/>
        </w:rPr>
        <w:t>紫竹路小学</w:t>
      </w:r>
      <w:r>
        <w:rPr>
          <w:rFonts w:hint="eastAsia" w:ascii="仿宋" w:hAnsi="仿宋" w:eastAsia="仿宋" w:cs="仿宋"/>
          <w:bCs/>
          <w:color w:val="auto"/>
          <w:sz w:val="32"/>
          <w:szCs w:val="32"/>
        </w:rPr>
        <w:t>单位职责，以预算资金管理为主线，统筹考虑业务活动，立足统计工作的定位，确保“职能-机构-资金-</w:t>
      </w:r>
      <w:r>
        <w:rPr>
          <w:rFonts w:hint="eastAsia" w:ascii="仿宋" w:hAnsi="仿宋" w:eastAsia="仿宋" w:cs="仿宋"/>
          <w:bCs/>
          <w:color w:val="auto"/>
          <w:sz w:val="32"/>
          <w:szCs w:val="32"/>
          <w:lang w:val="en-US" w:eastAsia="zh-CN"/>
        </w:rPr>
        <w:t>绩效</w:t>
      </w:r>
      <w:r>
        <w:rPr>
          <w:rFonts w:hint="eastAsia" w:ascii="仿宋" w:hAnsi="仿宋" w:eastAsia="仿宋" w:cs="仿宋"/>
          <w:bCs/>
          <w:color w:val="auto"/>
          <w:sz w:val="32"/>
          <w:szCs w:val="32"/>
        </w:rPr>
        <w:t>”的有效衔接。评价过程中主要采用卷宗研究法、对比分析法、公众评判法、成本效益分析法、因素分析法等方法。</w:t>
      </w:r>
    </w:p>
    <w:p w14:paraId="55A16A58">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2"/>
        <w:rPr>
          <w:rFonts w:hint="eastAsia" w:ascii="仿宋" w:hAnsi="仿宋" w:eastAsia="仿宋" w:cs="仿宋"/>
          <w:b/>
          <w:color w:val="auto"/>
          <w:sz w:val="32"/>
          <w:szCs w:val="32"/>
        </w:rPr>
      </w:pPr>
      <w:r>
        <w:rPr>
          <w:rFonts w:hint="eastAsia" w:ascii="仿宋" w:hAnsi="仿宋" w:eastAsia="仿宋" w:cs="仿宋"/>
          <w:b/>
          <w:color w:val="auto"/>
          <w:sz w:val="32"/>
          <w:szCs w:val="32"/>
        </w:rPr>
        <w:t>3.评价指标体系</w:t>
      </w:r>
    </w:p>
    <w:p w14:paraId="79A255E2">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lang w:eastAsia="zh-CN"/>
        </w:rPr>
      </w:pPr>
      <w:r>
        <w:rPr>
          <w:rFonts w:hint="eastAsia" w:ascii="仿宋" w:hAnsi="仿宋" w:eastAsia="仿宋" w:cs="仿宋"/>
          <w:bCs/>
          <w:color w:val="auto"/>
          <w:sz w:val="32"/>
          <w:szCs w:val="32"/>
        </w:rPr>
        <w:t>本次评价工作设置指标体系包括</w:t>
      </w:r>
      <w:r>
        <w:rPr>
          <w:rFonts w:hint="eastAsia" w:ascii="仿宋" w:hAnsi="仿宋" w:eastAsia="仿宋" w:cs="仿宋"/>
          <w:bCs/>
          <w:color w:val="auto"/>
          <w:sz w:val="32"/>
          <w:szCs w:val="32"/>
          <w:lang w:val="en-US" w:eastAsia="zh-CN"/>
        </w:rPr>
        <w:t>部门预算管理、绩效结果应用和自评质量3</w:t>
      </w:r>
      <w:r>
        <w:rPr>
          <w:rFonts w:hint="eastAsia" w:ascii="仿宋" w:hAnsi="仿宋" w:eastAsia="仿宋" w:cs="仿宋"/>
          <w:bCs/>
          <w:color w:val="auto"/>
          <w:sz w:val="32"/>
          <w:szCs w:val="32"/>
        </w:rPr>
        <w:t>个一级指标，</w:t>
      </w:r>
      <w:r>
        <w:rPr>
          <w:rFonts w:hint="eastAsia" w:ascii="仿宋" w:hAnsi="仿宋" w:eastAsia="仿宋" w:cs="仿宋"/>
          <w:bCs/>
          <w:color w:val="auto"/>
          <w:sz w:val="32"/>
          <w:szCs w:val="32"/>
          <w:lang w:val="en-US" w:eastAsia="zh-CN"/>
        </w:rPr>
        <w:t>6</w:t>
      </w:r>
      <w:r>
        <w:rPr>
          <w:rFonts w:hint="eastAsia" w:ascii="仿宋" w:hAnsi="仿宋" w:eastAsia="仿宋" w:cs="仿宋"/>
          <w:bCs/>
          <w:color w:val="auto"/>
          <w:sz w:val="32"/>
          <w:szCs w:val="32"/>
        </w:rPr>
        <w:t>个二级指标和</w:t>
      </w:r>
      <w:r>
        <w:rPr>
          <w:rFonts w:hint="eastAsia" w:ascii="仿宋" w:hAnsi="仿宋" w:eastAsia="仿宋" w:cs="仿宋"/>
          <w:bCs/>
          <w:color w:val="auto"/>
          <w:sz w:val="32"/>
          <w:szCs w:val="32"/>
          <w:lang w:val="en-US" w:eastAsia="zh-CN"/>
        </w:rPr>
        <w:t>12</w:t>
      </w:r>
      <w:r>
        <w:rPr>
          <w:rFonts w:hint="eastAsia" w:ascii="仿宋" w:hAnsi="仿宋" w:eastAsia="仿宋" w:cs="仿宋"/>
          <w:bCs/>
          <w:color w:val="auto"/>
          <w:sz w:val="32"/>
          <w:szCs w:val="32"/>
        </w:rPr>
        <w:t>个三级指标，指标体系详见附件。指标体系</w:t>
      </w:r>
      <w:r>
        <w:rPr>
          <w:rFonts w:hint="eastAsia" w:ascii="仿宋" w:hAnsi="仿宋" w:eastAsia="仿宋" w:cs="仿宋"/>
          <w:bCs/>
          <w:color w:val="auto"/>
          <w:sz w:val="32"/>
          <w:szCs w:val="32"/>
          <w:lang w:eastAsia="zh-CN"/>
        </w:rPr>
        <w:t>分值</w:t>
      </w:r>
      <w:r>
        <w:rPr>
          <w:rFonts w:hint="eastAsia" w:ascii="仿宋" w:hAnsi="仿宋" w:eastAsia="仿宋" w:cs="仿宋"/>
          <w:bCs/>
          <w:color w:val="auto"/>
          <w:sz w:val="32"/>
          <w:szCs w:val="32"/>
        </w:rPr>
        <w:t>为100分</w:t>
      </w:r>
      <w:r>
        <w:rPr>
          <w:rFonts w:hint="eastAsia" w:ascii="仿宋" w:hAnsi="仿宋" w:eastAsia="仿宋" w:cs="仿宋"/>
          <w:bCs/>
          <w:color w:val="auto"/>
          <w:sz w:val="32"/>
          <w:szCs w:val="32"/>
          <w:lang w:eastAsia="zh-CN"/>
        </w:rPr>
        <w:t>。</w:t>
      </w:r>
    </w:p>
    <w:p w14:paraId="65F954CE">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2"/>
        <w:rPr>
          <w:rFonts w:hint="default" w:ascii="仿宋" w:hAnsi="仿宋" w:eastAsia="仿宋" w:cs="仿宋"/>
          <w:b/>
          <w:color w:val="auto"/>
          <w:sz w:val="32"/>
          <w:szCs w:val="32"/>
          <w:lang w:val="en-US" w:eastAsia="zh-CN"/>
        </w:rPr>
      </w:pPr>
      <w:r>
        <w:rPr>
          <w:rFonts w:hint="eastAsia" w:ascii="仿宋" w:hAnsi="仿宋" w:eastAsia="仿宋" w:cs="仿宋"/>
          <w:b/>
          <w:color w:val="auto"/>
          <w:sz w:val="32"/>
          <w:szCs w:val="32"/>
          <w:lang w:val="en-US" w:eastAsia="zh-CN"/>
        </w:rPr>
        <w:t>4.评价标准</w:t>
      </w:r>
    </w:p>
    <w:p w14:paraId="543AC77F">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lang w:eastAsia="zh-CN"/>
        </w:rPr>
      </w:pPr>
      <w:r>
        <w:rPr>
          <w:rFonts w:hint="eastAsia" w:ascii="仿宋" w:hAnsi="仿宋" w:eastAsia="仿宋" w:cs="仿宋"/>
          <w:bCs/>
          <w:color w:val="auto"/>
          <w:sz w:val="32"/>
          <w:szCs w:val="32"/>
          <w:lang w:eastAsia="zh-CN"/>
        </w:rPr>
        <w:t>本次评价结果参考《财政部关于印发&lt;项目支出绩效评价管理办法&gt;的通知》（财预〔2020〕10号）要求分为四个等级，分为优、良、中、差。</w:t>
      </w:r>
    </w:p>
    <w:p w14:paraId="7C37A0C2">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lang w:eastAsia="zh-CN"/>
        </w:rPr>
      </w:pPr>
      <w:r>
        <w:rPr>
          <w:rFonts w:hint="eastAsia" w:ascii="仿宋" w:hAnsi="仿宋" w:eastAsia="仿宋" w:cs="仿宋"/>
          <w:bCs/>
          <w:color w:val="auto"/>
          <w:sz w:val="32"/>
          <w:szCs w:val="32"/>
          <w:lang w:eastAsia="zh-CN"/>
        </w:rPr>
        <w:t>综合得分在100—90分（含90分）为优；</w:t>
      </w:r>
    </w:p>
    <w:p w14:paraId="1384CA58">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lang w:eastAsia="zh-CN"/>
        </w:rPr>
      </w:pPr>
      <w:r>
        <w:rPr>
          <w:rFonts w:hint="eastAsia" w:ascii="仿宋" w:hAnsi="仿宋" w:eastAsia="仿宋" w:cs="仿宋"/>
          <w:bCs/>
          <w:color w:val="auto"/>
          <w:sz w:val="32"/>
          <w:szCs w:val="32"/>
          <w:lang w:eastAsia="zh-CN"/>
        </w:rPr>
        <w:t>综合得分在90—80分（含80分）为良；</w:t>
      </w:r>
    </w:p>
    <w:p w14:paraId="068D2AD1">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lang w:eastAsia="zh-CN"/>
        </w:rPr>
      </w:pPr>
      <w:r>
        <w:rPr>
          <w:rFonts w:hint="eastAsia" w:ascii="仿宋" w:hAnsi="仿宋" w:eastAsia="仿宋" w:cs="仿宋"/>
          <w:bCs/>
          <w:color w:val="auto"/>
          <w:sz w:val="32"/>
          <w:szCs w:val="32"/>
          <w:lang w:eastAsia="zh-CN"/>
        </w:rPr>
        <w:t>综合得分在80—60分（含60分）为中；</w:t>
      </w:r>
    </w:p>
    <w:p w14:paraId="6293F53A">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lang w:eastAsia="zh-CN"/>
        </w:rPr>
      </w:pPr>
      <w:r>
        <w:rPr>
          <w:rFonts w:hint="eastAsia" w:ascii="仿宋" w:hAnsi="仿宋" w:eastAsia="仿宋" w:cs="仿宋"/>
          <w:bCs/>
          <w:color w:val="auto"/>
          <w:sz w:val="32"/>
          <w:szCs w:val="32"/>
          <w:lang w:eastAsia="zh-CN"/>
        </w:rPr>
        <w:t>综合得分在60分以下为差。</w:t>
      </w:r>
    </w:p>
    <w:p w14:paraId="7FC06128">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1"/>
        <w:rPr>
          <w:rFonts w:ascii="楷体" w:hAnsi="楷体" w:eastAsia="楷体"/>
          <w:b/>
          <w:bCs/>
          <w:color w:val="auto"/>
          <w:sz w:val="32"/>
          <w:szCs w:val="32"/>
        </w:rPr>
      </w:pPr>
      <w:bookmarkStart w:id="491" w:name="_Toc2302"/>
      <w:r>
        <w:rPr>
          <w:rFonts w:hint="eastAsia" w:ascii="楷体" w:hAnsi="楷体" w:eastAsia="楷体"/>
          <w:b/>
          <w:bCs/>
          <w:color w:val="auto"/>
          <w:sz w:val="32"/>
          <w:szCs w:val="32"/>
        </w:rPr>
        <w:t>（三）绩效评价工作过程</w:t>
      </w:r>
      <w:bookmarkEnd w:id="491"/>
    </w:p>
    <w:p w14:paraId="0B9C9AB4">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2"/>
        <w:rPr>
          <w:rFonts w:ascii="仿宋" w:hAnsi="仿宋" w:eastAsia="仿宋" w:cs="仿宋"/>
          <w:b/>
          <w:color w:val="auto"/>
          <w:sz w:val="32"/>
          <w:szCs w:val="32"/>
        </w:rPr>
      </w:pPr>
      <w:r>
        <w:rPr>
          <w:rFonts w:ascii="仿宋" w:hAnsi="仿宋" w:eastAsia="仿宋" w:cs="仿宋"/>
          <w:b/>
          <w:color w:val="auto"/>
          <w:sz w:val="32"/>
          <w:szCs w:val="32"/>
        </w:rPr>
        <w:t>1.</w:t>
      </w:r>
      <w:r>
        <w:rPr>
          <w:rFonts w:hint="eastAsia" w:ascii="仿宋" w:hAnsi="仿宋" w:eastAsia="仿宋" w:cs="仿宋"/>
          <w:b/>
          <w:color w:val="auto"/>
          <w:sz w:val="32"/>
          <w:szCs w:val="32"/>
        </w:rPr>
        <w:t>准备阶段</w:t>
      </w:r>
    </w:p>
    <w:p w14:paraId="0C7207E3">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接受</w:t>
      </w:r>
      <w:r>
        <w:rPr>
          <w:rFonts w:hint="eastAsia" w:ascii="仿宋" w:hAnsi="仿宋" w:eastAsia="仿宋" w:cs="仿宋"/>
          <w:bCs/>
          <w:color w:val="auto"/>
          <w:sz w:val="32"/>
          <w:szCs w:val="32"/>
          <w:lang w:val="en-US" w:eastAsia="zh-CN"/>
        </w:rPr>
        <w:t>遂宁市河东新区国资金融局委托</w:t>
      </w:r>
      <w:r>
        <w:rPr>
          <w:rFonts w:hint="eastAsia" w:ascii="仿宋" w:hAnsi="仿宋" w:eastAsia="仿宋" w:cs="仿宋"/>
          <w:bCs/>
          <w:color w:val="auto"/>
          <w:sz w:val="32"/>
          <w:szCs w:val="32"/>
        </w:rPr>
        <w:t>，组建评价工作组。与单位财务管理部对接，明确具体工作安排及要求，初步沟通并收取部分单位基础材料。通过查看</w:t>
      </w:r>
      <w:r>
        <w:rPr>
          <w:rFonts w:hint="eastAsia" w:ascii="仿宋" w:hAnsi="仿宋" w:eastAsia="仿宋" w:cs="仿宋"/>
          <w:bCs/>
          <w:color w:val="auto"/>
          <w:sz w:val="32"/>
          <w:szCs w:val="32"/>
          <w:lang w:val="en-US" w:eastAsia="zh-CN"/>
        </w:rPr>
        <w:t>紫竹路小学</w:t>
      </w:r>
      <w:r>
        <w:rPr>
          <w:rFonts w:hint="eastAsia" w:ascii="仿宋" w:hAnsi="仿宋" w:eastAsia="仿宋" w:cs="仿宋"/>
          <w:bCs/>
          <w:color w:val="auto"/>
          <w:sz w:val="32"/>
          <w:szCs w:val="32"/>
        </w:rPr>
        <w:t>初步提交的资料，及网上查阅资料，了解</w:t>
      </w:r>
      <w:r>
        <w:rPr>
          <w:rFonts w:hint="eastAsia" w:ascii="仿宋" w:hAnsi="仿宋" w:eastAsia="仿宋" w:cs="仿宋"/>
          <w:bCs/>
          <w:color w:val="auto"/>
          <w:sz w:val="32"/>
          <w:szCs w:val="32"/>
          <w:lang w:eastAsia="zh-CN"/>
        </w:rPr>
        <w:t>紫竹路小学</w:t>
      </w:r>
      <w:r>
        <w:rPr>
          <w:rFonts w:hint="eastAsia" w:ascii="仿宋" w:hAnsi="仿宋" w:eastAsia="仿宋" w:cs="仿宋"/>
          <w:bCs/>
          <w:color w:val="auto"/>
          <w:sz w:val="32"/>
          <w:szCs w:val="32"/>
        </w:rPr>
        <w:t>整体情况、各</w:t>
      </w:r>
      <w:r>
        <w:rPr>
          <w:rFonts w:hint="eastAsia" w:ascii="仿宋" w:hAnsi="仿宋" w:eastAsia="仿宋" w:cs="仿宋"/>
          <w:bCs/>
          <w:color w:val="auto"/>
          <w:sz w:val="32"/>
          <w:szCs w:val="32"/>
          <w:lang w:val="en-US" w:eastAsia="zh-CN"/>
        </w:rPr>
        <w:t>办公室</w:t>
      </w:r>
      <w:r>
        <w:rPr>
          <w:rFonts w:hint="eastAsia" w:ascii="仿宋" w:hAnsi="仿宋" w:eastAsia="仿宋" w:cs="仿宋"/>
          <w:bCs/>
          <w:color w:val="auto"/>
          <w:sz w:val="32"/>
          <w:szCs w:val="32"/>
        </w:rPr>
        <w:t>工作职责及20</w:t>
      </w:r>
      <w:r>
        <w:rPr>
          <w:rFonts w:hint="eastAsia" w:ascii="仿宋" w:hAnsi="仿宋" w:eastAsia="仿宋" w:cs="仿宋"/>
          <w:bCs/>
          <w:color w:val="auto"/>
          <w:sz w:val="32"/>
          <w:szCs w:val="32"/>
          <w:lang w:val="en-US" w:eastAsia="zh-CN"/>
        </w:rPr>
        <w:t>21</w:t>
      </w:r>
      <w:r>
        <w:rPr>
          <w:rFonts w:hint="eastAsia" w:ascii="仿宋" w:hAnsi="仿宋" w:eastAsia="仿宋" w:cs="仿宋"/>
          <w:bCs/>
          <w:color w:val="auto"/>
          <w:sz w:val="32"/>
          <w:szCs w:val="32"/>
        </w:rPr>
        <w:t>年工作完成情况，明确评价思路，初步拟定评价指标体系及评分标准。</w:t>
      </w:r>
    </w:p>
    <w:p w14:paraId="28B62769">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2"/>
        <w:rPr>
          <w:rFonts w:ascii="仿宋" w:hAnsi="仿宋" w:eastAsia="仿宋" w:cs="仿宋"/>
          <w:b/>
          <w:color w:val="auto"/>
          <w:sz w:val="32"/>
          <w:szCs w:val="32"/>
        </w:rPr>
      </w:pPr>
      <w:r>
        <w:rPr>
          <w:rFonts w:ascii="仿宋" w:hAnsi="仿宋" w:eastAsia="仿宋" w:cs="仿宋"/>
          <w:b/>
          <w:color w:val="auto"/>
          <w:sz w:val="32"/>
          <w:szCs w:val="32"/>
        </w:rPr>
        <w:t>2.</w:t>
      </w:r>
      <w:r>
        <w:rPr>
          <w:rFonts w:hint="eastAsia" w:ascii="仿宋" w:hAnsi="仿宋" w:eastAsia="仿宋" w:cs="仿宋"/>
          <w:b/>
          <w:color w:val="auto"/>
          <w:sz w:val="32"/>
          <w:szCs w:val="32"/>
        </w:rPr>
        <w:t>实施阶段</w:t>
      </w:r>
    </w:p>
    <w:p w14:paraId="5A2DC513">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cs="仿宋"/>
          <w:bCs/>
          <w:color w:val="auto"/>
          <w:sz w:val="32"/>
          <w:szCs w:val="32"/>
        </w:rPr>
      </w:pPr>
      <w:r>
        <w:rPr>
          <w:rFonts w:hint="eastAsia" w:ascii="仿宋" w:hAnsi="仿宋" w:eastAsia="仿宋" w:cs="仿宋"/>
          <w:bCs/>
          <w:color w:val="auto"/>
          <w:sz w:val="32"/>
          <w:szCs w:val="32"/>
        </w:rPr>
        <w:t>按照既定的安排开展现场评价工作。评价工作组逐一对单位本级各</w:t>
      </w:r>
      <w:r>
        <w:rPr>
          <w:rFonts w:hint="eastAsia" w:ascii="仿宋" w:hAnsi="仿宋" w:eastAsia="仿宋" w:cs="仿宋"/>
          <w:bCs/>
          <w:color w:val="auto"/>
          <w:sz w:val="32"/>
          <w:szCs w:val="32"/>
          <w:lang w:val="en-US" w:eastAsia="zh-CN"/>
        </w:rPr>
        <w:t>办公室</w:t>
      </w:r>
      <w:r>
        <w:rPr>
          <w:rFonts w:hint="eastAsia" w:ascii="仿宋" w:hAnsi="仿宋" w:eastAsia="仿宋" w:cs="仿宋"/>
          <w:bCs/>
          <w:color w:val="auto"/>
          <w:sz w:val="32"/>
          <w:szCs w:val="32"/>
        </w:rPr>
        <w:t>进行座谈，了解各</w:t>
      </w:r>
      <w:r>
        <w:rPr>
          <w:rFonts w:hint="eastAsia" w:ascii="仿宋" w:hAnsi="仿宋" w:eastAsia="仿宋" w:cs="仿宋"/>
          <w:bCs/>
          <w:color w:val="auto"/>
          <w:sz w:val="32"/>
          <w:szCs w:val="32"/>
          <w:lang w:val="en-US" w:eastAsia="zh-CN"/>
        </w:rPr>
        <w:t>办公室</w:t>
      </w:r>
      <w:r>
        <w:rPr>
          <w:rFonts w:hint="eastAsia" w:ascii="仿宋" w:hAnsi="仿宋" w:eastAsia="仿宋" w:cs="仿宋"/>
          <w:bCs/>
          <w:color w:val="auto"/>
          <w:sz w:val="32"/>
          <w:szCs w:val="32"/>
        </w:rPr>
        <w:t>工作职责、年度工作内容及完成情况等。同时对单位</w:t>
      </w:r>
      <w:r>
        <w:rPr>
          <w:rFonts w:hint="eastAsia" w:ascii="仿宋" w:hAnsi="仿宋" w:eastAsia="仿宋" w:cs="仿宋"/>
          <w:bCs/>
          <w:color w:val="auto"/>
          <w:sz w:val="32"/>
          <w:szCs w:val="32"/>
          <w:lang w:val="en-US" w:eastAsia="zh-CN"/>
        </w:rPr>
        <w:t>2021</w:t>
      </w:r>
      <w:r>
        <w:rPr>
          <w:rFonts w:hint="eastAsia" w:ascii="仿宋" w:hAnsi="仿宋" w:eastAsia="仿宋" w:cs="仿宋"/>
          <w:bCs/>
          <w:color w:val="auto"/>
          <w:sz w:val="32"/>
          <w:szCs w:val="32"/>
        </w:rPr>
        <w:t>年财务工作情况进行梳理及资料查看。</w:t>
      </w:r>
    </w:p>
    <w:p w14:paraId="4B118671">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在座谈调研沟通的基础上，评价机构通过对项目资料的进一步分析，并结合现场调研了解的情况，对项目的疑难点进行梳理，同时补收评价资料。</w:t>
      </w:r>
    </w:p>
    <w:p w14:paraId="02A2C981">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2"/>
        <w:rPr>
          <w:rFonts w:ascii="仿宋" w:hAnsi="仿宋" w:eastAsia="仿宋" w:cs="仿宋"/>
          <w:b/>
          <w:color w:val="auto"/>
          <w:sz w:val="32"/>
          <w:szCs w:val="32"/>
        </w:rPr>
      </w:pPr>
      <w:r>
        <w:rPr>
          <w:rFonts w:ascii="仿宋" w:hAnsi="仿宋" w:eastAsia="仿宋" w:cs="仿宋"/>
          <w:b/>
          <w:color w:val="auto"/>
          <w:sz w:val="32"/>
          <w:szCs w:val="32"/>
        </w:rPr>
        <w:t>3.</w:t>
      </w:r>
      <w:r>
        <w:rPr>
          <w:rFonts w:hint="eastAsia" w:ascii="仿宋" w:hAnsi="仿宋" w:eastAsia="仿宋" w:cs="仿宋"/>
          <w:b/>
          <w:color w:val="auto"/>
          <w:sz w:val="32"/>
          <w:szCs w:val="32"/>
        </w:rPr>
        <w:t>总结报告阶段</w:t>
      </w:r>
    </w:p>
    <w:p w14:paraId="1172CDB2">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评价工作组在梳理、分析调研资料和相关数据的基础上，结合文献研究，对单位整体的投入、过程、产出和效益等方面进行综合分析和评价，形成绩效评价结论，按照规定的文本格式和内容撰写绩效评价报告</w:t>
      </w:r>
      <w:r>
        <w:rPr>
          <w:rFonts w:hint="eastAsia" w:ascii="仿宋" w:hAnsi="仿宋" w:eastAsia="仿宋" w:cs="仿宋"/>
          <w:bCs/>
          <w:color w:val="auto"/>
          <w:sz w:val="32"/>
          <w:szCs w:val="32"/>
          <w:lang w:eastAsia="zh-CN"/>
        </w:rPr>
        <w:t>，</w:t>
      </w:r>
      <w:r>
        <w:rPr>
          <w:rFonts w:hint="eastAsia" w:ascii="仿宋" w:hAnsi="仿宋" w:eastAsia="仿宋" w:cs="仿宋"/>
          <w:bCs/>
          <w:color w:val="auto"/>
          <w:sz w:val="32"/>
          <w:szCs w:val="32"/>
          <w:lang w:val="en-US" w:eastAsia="zh-CN"/>
        </w:rPr>
        <w:t>并征求委托单位意见，修改完善报告，完成报告质量内部质控等工作</w:t>
      </w:r>
      <w:r>
        <w:rPr>
          <w:rFonts w:hint="eastAsia" w:ascii="仿宋" w:hAnsi="仿宋" w:eastAsia="仿宋" w:cs="仿宋"/>
          <w:bCs/>
          <w:color w:val="auto"/>
          <w:sz w:val="32"/>
          <w:szCs w:val="32"/>
        </w:rPr>
        <w:t>。</w:t>
      </w:r>
    </w:p>
    <w:p w14:paraId="4B376F78">
      <w:pPr>
        <w:pStyle w:val="3"/>
        <w:pageBreakBefore w:val="0"/>
        <w:numPr>
          <w:ilvl w:val="0"/>
          <w:numId w:val="0"/>
        </w:numPr>
        <w:kinsoku/>
        <w:wordWrap/>
        <w:overflowPunct/>
        <w:topLinePunct w:val="0"/>
        <w:autoSpaceDE/>
        <w:autoSpaceDN/>
        <w:bidi w:val="0"/>
        <w:spacing w:line="560" w:lineRule="exact"/>
        <w:ind w:leftChars="200"/>
        <w:rPr>
          <w:rFonts w:hint="eastAsia"/>
          <w:color w:val="auto"/>
        </w:rPr>
      </w:pPr>
      <w:bookmarkStart w:id="492" w:name="_Toc6986"/>
      <w:r>
        <w:rPr>
          <w:rFonts w:hint="eastAsia"/>
          <w:color w:val="auto"/>
          <w:lang w:eastAsia="zh-CN"/>
        </w:rPr>
        <w:t>三、</w:t>
      </w:r>
      <w:r>
        <w:rPr>
          <w:rFonts w:hint="eastAsia"/>
          <w:color w:val="auto"/>
        </w:rPr>
        <w:t>基本运行绩效情况</w:t>
      </w:r>
      <w:bookmarkEnd w:id="492"/>
    </w:p>
    <w:p w14:paraId="4B01936F">
      <w:pPr>
        <w:pStyle w:val="5"/>
        <w:pageBreakBefore w:val="0"/>
        <w:widowControl w:val="0"/>
        <w:kinsoku/>
        <w:wordWrap/>
        <w:overflowPunct/>
        <w:topLinePunct w:val="0"/>
        <w:autoSpaceDE/>
        <w:autoSpaceDN/>
        <w:bidi w:val="0"/>
        <w:snapToGrid/>
        <w:spacing w:line="560" w:lineRule="exact"/>
        <w:ind w:left="-10" w:leftChars="0" w:firstLine="643" w:firstLineChars="200"/>
        <w:textAlignment w:val="auto"/>
        <w:rPr>
          <w:color w:val="auto"/>
        </w:rPr>
      </w:pPr>
      <w:bookmarkStart w:id="493" w:name="_Toc7499"/>
      <w:r>
        <w:rPr>
          <w:rFonts w:hint="eastAsia"/>
          <w:color w:val="auto"/>
          <w:lang w:val="en-US" w:eastAsia="zh-CN"/>
        </w:rPr>
        <w:t>预算管理情况</w:t>
      </w:r>
      <w:bookmarkEnd w:id="493"/>
    </w:p>
    <w:p w14:paraId="18BF47E4">
      <w:pPr>
        <w:pStyle w:val="6"/>
        <w:pageBreakBefore w:val="0"/>
        <w:widowControl w:val="0"/>
        <w:numPr>
          <w:ilvl w:val="-1"/>
          <w:numId w:val="0"/>
          <w:ins w:id="2" w:author="WPS_10036724" w:date=""/>
        </w:numPr>
        <w:kinsoku/>
        <w:wordWrap/>
        <w:overflowPunct/>
        <w:topLinePunct w:val="0"/>
        <w:autoSpaceDE/>
        <w:autoSpaceDN/>
        <w:bidi w:val="0"/>
        <w:snapToGrid/>
        <w:spacing w:line="560" w:lineRule="exact"/>
        <w:ind w:left="0" w:leftChars="0" w:firstLine="842" w:firstLineChars="262"/>
        <w:textAlignment w:val="auto"/>
        <w:outlineLvl w:val="2"/>
        <w:rPr>
          <w:rFonts w:hint="eastAsia" w:ascii="仿宋" w:hAnsi="仿宋" w:eastAsia="仿宋" w:cs="仿宋"/>
          <w:b/>
          <w:bCs w:val="0"/>
          <w:color w:val="auto"/>
        </w:rPr>
      </w:pPr>
      <w:r>
        <w:rPr>
          <w:rFonts w:hint="eastAsia" w:ascii="仿宋" w:hAnsi="仿宋" w:eastAsia="仿宋" w:cs="仿宋"/>
          <w:b/>
          <w:bCs w:val="0"/>
          <w:color w:val="auto"/>
          <w:lang w:val="en-US" w:eastAsia="zh-CN"/>
        </w:rPr>
        <w:t>1、内控</w:t>
      </w:r>
      <w:r>
        <w:rPr>
          <w:rFonts w:hint="eastAsia" w:ascii="仿宋" w:hAnsi="仿宋" w:eastAsia="仿宋" w:cs="仿宋"/>
          <w:b/>
          <w:bCs w:val="0"/>
          <w:color w:val="auto"/>
        </w:rPr>
        <w:t>制度建设</w:t>
      </w:r>
    </w:p>
    <w:p w14:paraId="4C9FD311">
      <w:pPr>
        <w:pStyle w:val="4"/>
        <w:pageBreakBefore w:val="0"/>
        <w:widowControl w:val="0"/>
        <w:kinsoku/>
        <w:wordWrap/>
        <w:overflowPunct/>
        <w:topLinePunct w:val="0"/>
        <w:autoSpaceDE/>
        <w:autoSpaceDN/>
        <w:bidi w:val="0"/>
        <w:spacing w:line="560" w:lineRule="exact"/>
        <w:ind w:firstLine="640" w:firstLineChars="200"/>
        <w:textAlignment w:val="auto"/>
        <w:rPr>
          <w:rFonts w:hint="default"/>
          <w:color w:val="auto"/>
          <w:highlight w:val="none"/>
          <w:lang w:val="en-US"/>
        </w:rPr>
      </w:pPr>
      <w:r>
        <w:rPr>
          <w:rFonts w:hint="eastAsia"/>
          <w:color w:val="auto"/>
          <w:lang w:val="en-US" w:eastAsia="zh-CN"/>
        </w:rPr>
        <w:t>紫竹路小学</w:t>
      </w:r>
      <w:r>
        <w:rPr>
          <w:rFonts w:hint="eastAsia"/>
          <w:color w:val="auto"/>
        </w:rPr>
        <w:t>根据《行政事业单位内部控制规范》（财会〔201</w:t>
      </w:r>
      <w:r>
        <w:rPr>
          <w:rFonts w:hint="eastAsia"/>
          <w:color w:val="auto"/>
          <w:lang w:val="en-US" w:eastAsia="zh-CN"/>
        </w:rPr>
        <w:t>2</w:t>
      </w:r>
      <w:r>
        <w:rPr>
          <w:rFonts w:hint="eastAsia"/>
          <w:color w:val="auto"/>
        </w:rPr>
        <w:t>〕</w:t>
      </w:r>
      <w:r>
        <w:rPr>
          <w:rFonts w:hint="eastAsia"/>
          <w:color w:val="auto"/>
          <w:lang w:val="en-US" w:eastAsia="zh-CN"/>
        </w:rPr>
        <w:t>21</w:t>
      </w:r>
      <w:r>
        <w:rPr>
          <w:rFonts w:hint="eastAsia"/>
          <w:color w:val="auto"/>
        </w:rPr>
        <w:t>号）</w:t>
      </w:r>
      <w:r>
        <w:rPr>
          <w:rFonts w:hint="eastAsia"/>
          <w:color w:val="auto"/>
          <w:lang w:eastAsia="zh-CN"/>
        </w:rPr>
        <w:t>、《财政部关于全面推进行政事业单位内部控制建设的指导意见》</w:t>
      </w:r>
      <w:r>
        <w:rPr>
          <w:rFonts w:hint="eastAsia"/>
          <w:color w:val="auto"/>
        </w:rPr>
        <w:t>财会〔201</w:t>
      </w:r>
      <w:r>
        <w:rPr>
          <w:rFonts w:hint="eastAsia"/>
          <w:color w:val="auto"/>
          <w:lang w:val="en-US" w:eastAsia="zh-CN"/>
        </w:rPr>
        <w:t>5</w:t>
      </w:r>
      <w:r>
        <w:rPr>
          <w:rFonts w:hint="eastAsia"/>
          <w:color w:val="auto"/>
        </w:rPr>
        <w:t>〕</w:t>
      </w:r>
      <w:r>
        <w:rPr>
          <w:rFonts w:hint="eastAsia"/>
          <w:color w:val="auto"/>
          <w:lang w:val="en-US" w:eastAsia="zh-CN"/>
        </w:rPr>
        <w:t>24</w:t>
      </w:r>
      <w:r>
        <w:rPr>
          <w:rFonts w:hint="eastAsia"/>
          <w:color w:val="auto"/>
        </w:rPr>
        <w:t>号）和《行政事业单位内部控制报告管理制度（试行）（</w:t>
      </w:r>
      <w:r>
        <w:rPr>
          <w:rFonts w:hint="eastAsia"/>
          <w:color w:val="auto"/>
          <w:lang w:val="en-US" w:eastAsia="zh-CN"/>
        </w:rPr>
        <w:t>财政部</w:t>
      </w:r>
      <w:r>
        <w:rPr>
          <w:rFonts w:hint="eastAsia"/>
          <w:color w:val="auto"/>
        </w:rPr>
        <w:t>〔201</w:t>
      </w:r>
      <w:r>
        <w:rPr>
          <w:rFonts w:hint="eastAsia"/>
          <w:color w:val="auto"/>
          <w:lang w:val="en-US" w:eastAsia="zh-CN"/>
        </w:rPr>
        <w:t>7</w:t>
      </w:r>
      <w:r>
        <w:rPr>
          <w:rFonts w:hint="eastAsia"/>
          <w:color w:val="auto"/>
        </w:rPr>
        <w:t>〕</w:t>
      </w:r>
      <w:r>
        <w:rPr>
          <w:rFonts w:hint="eastAsia"/>
          <w:color w:val="auto"/>
          <w:lang w:val="en-US" w:eastAsia="zh-CN"/>
        </w:rPr>
        <w:t>3</w:t>
      </w:r>
      <w:r>
        <w:rPr>
          <w:rFonts w:hint="eastAsia"/>
          <w:color w:val="auto"/>
        </w:rPr>
        <w:t>号）和自身工作管理实际情况，</w:t>
      </w:r>
      <w:r>
        <w:rPr>
          <w:rFonts w:hint="eastAsia"/>
          <w:color w:val="auto"/>
          <w:lang w:val="en-US" w:eastAsia="zh-CN"/>
        </w:rPr>
        <w:t>制定</w:t>
      </w:r>
      <w:r>
        <w:rPr>
          <w:rFonts w:hint="eastAsia"/>
          <w:color w:val="auto"/>
        </w:rPr>
        <w:t>《</w:t>
      </w:r>
      <w:r>
        <w:rPr>
          <w:rFonts w:hint="eastAsia"/>
          <w:color w:val="auto"/>
          <w:lang w:val="en-US" w:eastAsia="zh-CN"/>
        </w:rPr>
        <w:t>遂宁市河东新区紫竹路小学校内部控制规范建设手册汇编》</w:t>
      </w:r>
      <w:r>
        <w:rPr>
          <w:rFonts w:hint="eastAsia"/>
          <w:color w:val="auto"/>
        </w:rPr>
        <w:t>，</w:t>
      </w:r>
      <w:r>
        <w:rPr>
          <w:rFonts w:hint="eastAsia"/>
          <w:color w:val="auto"/>
          <w:lang w:val="en-US" w:eastAsia="zh-CN"/>
        </w:rPr>
        <w:t>内容明确</w:t>
      </w:r>
      <w:r>
        <w:rPr>
          <w:rFonts w:hint="eastAsia"/>
          <w:color w:val="auto"/>
        </w:rPr>
        <w:t>了</w:t>
      </w:r>
      <w:r>
        <w:rPr>
          <w:rFonts w:hint="eastAsia"/>
          <w:color w:val="auto"/>
          <w:lang w:eastAsia="zh-CN"/>
        </w:rPr>
        <w:t>紫竹路小学</w:t>
      </w:r>
      <w:r>
        <w:rPr>
          <w:rFonts w:hint="eastAsia"/>
          <w:color w:val="auto"/>
        </w:rPr>
        <w:t>管理机构</w:t>
      </w:r>
      <w:r>
        <w:rPr>
          <w:rFonts w:hint="eastAsia"/>
          <w:color w:val="auto"/>
          <w:lang w:eastAsia="zh-CN"/>
        </w:rPr>
        <w:t>、</w:t>
      </w:r>
      <w:r>
        <w:rPr>
          <w:rFonts w:hint="eastAsia"/>
          <w:color w:val="auto"/>
        </w:rPr>
        <w:t>职责、</w:t>
      </w:r>
      <w:r>
        <w:rPr>
          <w:rFonts w:hint="eastAsia"/>
          <w:color w:val="auto"/>
          <w:lang w:val="en-US" w:eastAsia="zh-CN"/>
        </w:rPr>
        <w:t>预算业务控制建设、收支业务控制建设、资产业务控制建设、采购业务控制建设和内部控制评价与监督等内容</w:t>
      </w:r>
      <w:r>
        <w:rPr>
          <w:rFonts w:hint="eastAsia"/>
          <w:color w:val="auto"/>
        </w:rPr>
        <w:t>。</w:t>
      </w:r>
      <w:r>
        <w:rPr>
          <w:rFonts w:hint="eastAsia"/>
          <w:color w:val="auto"/>
          <w:highlight w:val="none"/>
        </w:rPr>
        <w:t>经评价组核查，</w:t>
      </w:r>
      <w:r>
        <w:rPr>
          <w:rFonts w:hint="eastAsia"/>
          <w:color w:val="auto"/>
          <w:highlight w:val="none"/>
          <w:lang w:val="en-US" w:eastAsia="zh-CN"/>
        </w:rPr>
        <w:t>制度内容合法规范，图表完整。</w:t>
      </w:r>
    </w:p>
    <w:p w14:paraId="465CD899">
      <w:pPr>
        <w:pStyle w:val="4"/>
        <w:pageBreakBefore w:val="0"/>
        <w:widowControl w:val="0"/>
        <w:kinsoku/>
        <w:wordWrap/>
        <w:overflowPunct/>
        <w:topLinePunct w:val="0"/>
        <w:autoSpaceDE/>
        <w:autoSpaceDN/>
        <w:bidi w:val="0"/>
        <w:spacing w:line="560" w:lineRule="exact"/>
        <w:ind w:firstLine="643" w:firstLineChars="200"/>
        <w:textAlignment w:val="auto"/>
        <w:outlineLvl w:val="2"/>
        <w:rPr>
          <w:rFonts w:hint="default"/>
          <w:b/>
          <w:bCs/>
          <w:color w:val="auto"/>
          <w:highlight w:val="none"/>
          <w:lang w:val="en-US" w:eastAsia="zh-CN"/>
        </w:rPr>
      </w:pPr>
      <w:r>
        <w:rPr>
          <w:rFonts w:hint="eastAsia"/>
          <w:b/>
          <w:bCs/>
          <w:color w:val="auto"/>
          <w:highlight w:val="none"/>
          <w:lang w:val="en-US" w:eastAsia="zh-CN"/>
        </w:rPr>
        <w:t>2、预决算信息公开情况</w:t>
      </w:r>
    </w:p>
    <w:p w14:paraId="4EF5C914">
      <w:pPr>
        <w:pStyle w:val="4"/>
        <w:pageBreakBefore w:val="0"/>
        <w:widowControl w:val="0"/>
        <w:kinsoku/>
        <w:wordWrap/>
        <w:overflowPunct/>
        <w:topLinePunct w:val="0"/>
        <w:autoSpaceDE/>
        <w:autoSpaceDN/>
        <w:bidi w:val="0"/>
        <w:snapToGrid/>
        <w:spacing w:line="560" w:lineRule="exact"/>
        <w:ind w:firstLine="640" w:firstLineChars="200"/>
        <w:textAlignment w:val="auto"/>
        <w:rPr>
          <w:rFonts w:hint="eastAsia"/>
          <w:color w:val="auto"/>
          <w:highlight w:val="none"/>
          <w:lang w:val="en-US" w:eastAsia="zh-CN"/>
        </w:rPr>
      </w:pPr>
      <w:r>
        <w:rPr>
          <w:rFonts w:hint="eastAsia"/>
          <w:color w:val="auto"/>
          <w:highlight w:val="none"/>
          <w:lang w:val="en-US" w:eastAsia="zh-CN"/>
        </w:rPr>
        <w:t>紫竹路小学</w:t>
      </w:r>
      <w:r>
        <w:rPr>
          <w:rFonts w:hint="eastAsia"/>
          <w:color w:val="auto"/>
          <w:lang w:val="en-US" w:eastAsia="zh-CN"/>
        </w:rPr>
        <w:t>严格按照遂宁市河东新区国资金融局预决算信息公开要求，</w:t>
      </w:r>
      <w:r>
        <w:rPr>
          <w:rFonts w:hint="eastAsia"/>
          <w:color w:val="auto"/>
          <w:highlight w:val="none"/>
          <w:lang w:val="en-US" w:eastAsia="zh-CN"/>
        </w:rPr>
        <w:t>2021年预算编制说明和附件、2021年决算公开编制说明和附件已按规定公开于遂宁市河东新区政府信息公开网</w:t>
      </w:r>
      <w:r>
        <w:rPr>
          <w:rFonts w:hint="eastAsia"/>
          <w:color w:val="auto"/>
          <w:lang w:val="en-US" w:eastAsia="zh-CN"/>
        </w:rPr>
        <w:t>，信息真实、完整</w:t>
      </w:r>
      <w:r>
        <w:rPr>
          <w:rFonts w:hint="eastAsia"/>
          <w:color w:val="auto"/>
          <w:highlight w:val="none"/>
          <w:lang w:val="en-US" w:eastAsia="zh-CN"/>
        </w:rPr>
        <w:t>，符合信息公开相关法律法规规定。</w:t>
      </w:r>
    </w:p>
    <w:p w14:paraId="37D9668B">
      <w:pPr>
        <w:pStyle w:val="5"/>
        <w:pageBreakBefore w:val="0"/>
        <w:widowControl w:val="0"/>
        <w:kinsoku/>
        <w:wordWrap/>
        <w:overflowPunct/>
        <w:topLinePunct w:val="0"/>
        <w:autoSpaceDE/>
        <w:autoSpaceDN/>
        <w:bidi w:val="0"/>
        <w:snapToGrid/>
        <w:spacing w:line="560" w:lineRule="exact"/>
        <w:ind w:left="-10" w:leftChars="0" w:firstLine="643" w:firstLineChars="200"/>
        <w:textAlignment w:val="auto"/>
        <w:rPr>
          <w:color w:val="auto"/>
        </w:rPr>
      </w:pPr>
      <w:bookmarkStart w:id="494" w:name="_Toc19209"/>
      <w:r>
        <w:rPr>
          <w:rFonts w:hint="eastAsia"/>
          <w:color w:val="auto"/>
        </w:rPr>
        <w:t>财务管理</w:t>
      </w:r>
      <w:bookmarkEnd w:id="494"/>
    </w:p>
    <w:p w14:paraId="3D2CD3C1">
      <w:pPr>
        <w:pStyle w:val="4"/>
        <w:pageBreakBefore w:val="0"/>
        <w:widowControl w:val="0"/>
        <w:kinsoku/>
        <w:wordWrap/>
        <w:overflowPunct/>
        <w:topLinePunct w:val="0"/>
        <w:autoSpaceDE/>
        <w:autoSpaceDN/>
        <w:bidi w:val="0"/>
        <w:snapToGrid/>
        <w:spacing w:line="560" w:lineRule="exact"/>
        <w:ind w:firstLine="640" w:firstLineChars="200"/>
        <w:textAlignment w:val="auto"/>
        <w:rPr>
          <w:rFonts w:hint="eastAsia" w:eastAsia="仿宋_GB2312"/>
          <w:color w:val="auto"/>
          <w:lang w:val="en-US" w:eastAsia="zh-CN"/>
        </w:rPr>
      </w:pPr>
      <w:r>
        <w:rPr>
          <w:rFonts w:hint="eastAsia"/>
          <w:color w:val="auto"/>
          <w:lang w:val="en-US" w:eastAsia="zh-CN"/>
        </w:rPr>
        <w:t>在资金的使用和管理方面，紫竹路小学依据《中华人民共和国会计法》等相关管理办法和文件，制定《财务管理制度》《报销票据的管理制度》《经费报销管理制度》等相关财务制度，</w:t>
      </w:r>
      <w:r>
        <w:rPr>
          <w:color w:val="auto"/>
        </w:rPr>
        <w:t>对财务报销、</w:t>
      </w:r>
      <w:r>
        <w:rPr>
          <w:rFonts w:hint="eastAsia"/>
          <w:color w:val="auto"/>
          <w:lang w:val="en-US" w:eastAsia="zh-CN"/>
        </w:rPr>
        <w:t>差旅费</w:t>
      </w:r>
      <w:r>
        <w:rPr>
          <w:color w:val="auto"/>
        </w:rPr>
        <w:t>等各环节作了详细规定</w:t>
      </w:r>
      <w:r>
        <w:rPr>
          <w:rFonts w:hint="eastAsia"/>
          <w:color w:val="auto"/>
          <w:lang w:eastAsia="zh-CN"/>
        </w:rPr>
        <w:t>，</w:t>
      </w:r>
      <w:r>
        <w:rPr>
          <w:rFonts w:hint="eastAsia"/>
          <w:color w:val="auto"/>
          <w:lang w:val="en-US" w:eastAsia="zh-CN"/>
        </w:rPr>
        <w:t>财务管理制度规范、健全。评价组随机抽查“免作业本费”项目的</w:t>
      </w:r>
      <w:r>
        <w:rPr>
          <w:rFonts w:hint="eastAsia"/>
          <w:color w:val="auto"/>
        </w:rPr>
        <w:t>凭证</w:t>
      </w:r>
      <w:r>
        <w:rPr>
          <w:rFonts w:hint="eastAsia"/>
          <w:color w:val="auto"/>
          <w:lang w:eastAsia="zh-CN"/>
        </w:rPr>
        <w:t>，</w:t>
      </w:r>
      <w:r>
        <w:rPr>
          <w:rFonts w:hint="eastAsia"/>
          <w:color w:val="auto"/>
          <w:lang w:val="en-US" w:eastAsia="zh-CN"/>
        </w:rPr>
        <w:t>紫竹路小学按照规定程序，</w:t>
      </w:r>
      <w:r>
        <w:rPr>
          <w:rFonts w:hint="eastAsia"/>
          <w:color w:val="auto"/>
        </w:rPr>
        <w:t>票据齐全</w:t>
      </w:r>
      <w:r>
        <w:rPr>
          <w:rFonts w:hint="eastAsia"/>
          <w:color w:val="auto"/>
          <w:lang w:eastAsia="zh-CN"/>
        </w:rPr>
        <w:t>，</w:t>
      </w:r>
      <w:r>
        <w:rPr>
          <w:rFonts w:hint="eastAsia"/>
          <w:color w:val="auto"/>
          <w:lang w:val="en-US" w:eastAsia="zh-CN"/>
        </w:rPr>
        <w:t>实行逐级审批后支付，</w:t>
      </w:r>
      <w:r>
        <w:rPr>
          <w:rFonts w:hint="eastAsia"/>
          <w:color w:val="auto"/>
        </w:rPr>
        <w:t>审批流程规范</w:t>
      </w:r>
      <w:r>
        <w:rPr>
          <w:rFonts w:hint="eastAsia"/>
          <w:color w:val="auto"/>
          <w:lang w:eastAsia="zh-CN"/>
        </w:rPr>
        <w:t>，</w:t>
      </w:r>
      <w:r>
        <w:rPr>
          <w:rFonts w:hint="eastAsia"/>
          <w:color w:val="auto"/>
          <w:lang w:val="en-US" w:eastAsia="zh-CN"/>
        </w:rPr>
        <w:t>符合管理制度的规定</w:t>
      </w:r>
      <w:r>
        <w:rPr>
          <w:rFonts w:hint="eastAsia"/>
          <w:color w:val="auto"/>
          <w:lang w:eastAsia="zh-CN"/>
        </w:rPr>
        <w:t>。</w:t>
      </w:r>
    </w:p>
    <w:p w14:paraId="7B32C1BC">
      <w:pPr>
        <w:pStyle w:val="5"/>
        <w:pageBreakBefore w:val="0"/>
        <w:widowControl w:val="0"/>
        <w:kinsoku/>
        <w:wordWrap/>
        <w:overflowPunct/>
        <w:topLinePunct w:val="0"/>
        <w:autoSpaceDE/>
        <w:autoSpaceDN/>
        <w:bidi w:val="0"/>
        <w:snapToGrid/>
        <w:spacing w:line="560" w:lineRule="exact"/>
        <w:ind w:left="-10" w:leftChars="0" w:firstLine="643" w:firstLineChars="200"/>
        <w:textAlignment w:val="auto"/>
        <w:rPr>
          <w:rFonts w:hint="eastAsia"/>
          <w:color w:val="auto"/>
          <w:lang w:val="en-US" w:eastAsia="zh-CN"/>
        </w:rPr>
      </w:pPr>
      <w:bookmarkStart w:id="495" w:name="_Toc19260"/>
      <w:r>
        <w:rPr>
          <w:rFonts w:hint="eastAsia"/>
          <w:color w:val="auto"/>
          <w:lang w:val="en-US" w:eastAsia="zh-Hans"/>
        </w:rPr>
        <w:t>政府采购</w:t>
      </w:r>
      <w:bookmarkEnd w:id="495"/>
    </w:p>
    <w:p w14:paraId="02B439A1">
      <w:pPr>
        <w:pStyle w:val="4"/>
        <w:pageBreakBefore w:val="0"/>
        <w:kinsoku/>
        <w:wordWrap/>
        <w:overflowPunct/>
        <w:topLinePunct w:val="0"/>
        <w:autoSpaceDE/>
        <w:autoSpaceDN/>
        <w:bidi w:val="0"/>
        <w:spacing w:line="560" w:lineRule="exact"/>
        <w:ind w:firstLine="640" w:firstLineChars="200"/>
        <w:textAlignment w:val="auto"/>
        <w:rPr>
          <w:rFonts w:hint="eastAsia"/>
          <w:color w:val="auto"/>
          <w:lang w:val="en-US" w:eastAsia="zh-CN"/>
        </w:rPr>
      </w:pPr>
      <w:r>
        <w:rPr>
          <w:rFonts w:hint="eastAsia"/>
          <w:color w:val="auto"/>
          <w:lang w:val="en-US" w:eastAsia="zh-CN"/>
        </w:rPr>
        <w:t>紫竹路小学制定《采购业务控制建设》制度，形成了公平竞争、规范管理和社会监督的政府采购机制，</w:t>
      </w:r>
      <w:r>
        <w:rPr>
          <w:rFonts w:hint="eastAsia"/>
          <w:color w:val="auto"/>
          <w:highlight w:val="none"/>
          <w:lang w:val="en-US" w:eastAsia="zh-CN"/>
        </w:rPr>
        <w:t>2021年紫竹路小学无公开采购项目，其设立的政府采购程序规范。</w:t>
      </w:r>
    </w:p>
    <w:p w14:paraId="5A88F64C">
      <w:pPr>
        <w:pStyle w:val="5"/>
        <w:pageBreakBefore w:val="0"/>
        <w:widowControl w:val="0"/>
        <w:kinsoku/>
        <w:wordWrap/>
        <w:overflowPunct/>
        <w:topLinePunct w:val="0"/>
        <w:autoSpaceDE/>
        <w:autoSpaceDN/>
        <w:bidi w:val="0"/>
        <w:snapToGrid/>
        <w:spacing w:line="560" w:lineRule="exact"/>
        <w:ind w:left="-10" w:leftChars="0" w:firstLine="643" w:firstLineChars="200"/>
        <w:textAlignment w:val="auto"/>
        <w:rPr>
          <w:rFonts w:hint="eastAsia"/>
          <w:color w:val="auto"/>
          <w:lang w:val="en-US" w:eastAsia="zh-CN"/>
        </w:rPr>
      </w:pPr>
      <w:bookmarkStart w:id="496" w:name="_Toc80"/>
      <w:r>
        <w:rPr>
          <w:rFonts w:hint="eastAsia"/>
          <w:color w:val="auto"/>
          <w:lang w:val="en-US" w:eastAsia="zh-CN"/>
        </w:rPr>
        <w:t>资产管理情况</w:t>
      </w:r>
      <w:bookmarkEnd w:id="496"/>
    </w:p>
    <w:p w14:paraId="066C4E97">
      <w:pPr>
        <w:pStyle w:val="4"/>
        <w:pageBreakBefore w:val="0"/>
        <w:kinsoku/>
        <w:wordWrap/>
        <w:overflowPunct/>
        <w:topLinePunct w:val="0"/>
        <w:autoSpaceDE/>
        <w:autoSpaceDN/>
        <w:bidi w:val="0"/>
        <w:spacing w:line="560" w:lineRule="exact"/>
        <w:ind w:firstLine="640" w:firstLineChars="200"/>
        <w:textAlignment w:val="auto"/>
        <w:rPr>
          <w:rFonts w:hint="eastAsia"/>
          <w:color w:val="auto"/>
          <w:lang w:val="en-US" w:eastAsia="zh-CN"/>
        </w:rPr>
      </w:pPr>
      <w:r>
        <w:rPr>
          <w:rFonts w:hint="eastAsia"/>
          <w:color w:val="auto"/>
          <w:lang w:val="en-US" w:eastAsia="zh-CN"/>
        </w:rPr>
        <w:t>紫竹路小学依据《行政单位财务规则》（财政部令〔2012〕第71号）等文件的规定，结合紫竹路小学实际情况，制定《资产业务控制建设》，明确固定资产按照“资产管理与预算管理相结合、资产管理与财务管理相结合、实物管理与价值管理相结合”及“统一领导、分级管理、责任到人、合理配备、规范管理”的原则实施管理，对固定资产的固定资产范围、分类、计价、配置、使用、处置等流程也有明确规定。针对固定资产在用情况，评价组对紫竹路小学2020年购置的通用设备如碎纸机、打印机、电脑等进行了抽查工作，抽查设备均处于在用状态，固定资产在用状态与实际一致。</w:t>
      </w:r>
    </w:p>
    <w:p w14:paraId="3E6B5C23">
      <w:pPr>
        <w:pStyle w:val="3"/>
        <w:pageBreakBefore w:val="0"/>
        <w:numPr>
          <w:ilvl w:val="0"/>
          <w:numId w:val="0"/>
        </w:numPr>
        <w:kinsoku/>
        <w:wordWrap/>
        <w:overflowPunct/>
        <w:topLinePunct w:val="0"/>
        <w:autoSpaceDE/>
        <w:autoSpaceDN/>
        <w:bidi w:val="0"/>
        <w:spacing w:line="560" w:lineRule="exact"/>
        <w:ind w:leftChars="200" w:firstLine="320" w:firstLineChars="100"/>
        <w:rPr>
          <w:rFonts w:hint="eastAsia" w:ascii="Times New Roman" w:hAnsi="Times New Roman" w:eastAsia="黑体" w:cs="Times New Roman"/>
          <w:bCs/>
          <w:color w:val="auto"/>
          <w:kern w:val="44"/>
          <w:sz w:val="32"/>
          <w:szCs w:val="32"/>
          <w:lang w:val="zh-CN" w:eastAsia="zh-CN" w:bidi="ar-SA"/>
        </w:rPr>
      </w:pPr>
      <w:bookmarkStart w:id="497" w:name="_Toc2622"/>
      <w:r>
        <w:rPr>
          <w:rFonts w:hint="eastAsia" w:cs="Times New Roman"/>
          <w:bCs/>
          <w:color w:val="auto"/>
          <w:kern w:val="44"/>
          <w:sz w:val="32"/>
          <w:szCs w:val="32"/>
          <w:lang w:val="zh-CN" w:eastAsia="zh-CN" w:bidi="ar-SA"/>
        </w:rPr>
        <w:t>四、</w:t>
      </w:r>
      <w:r>
        <w:rPr>
          <w:rFonts w:hint="eastAsia" w:ascii="Times New Roman" w:hAnsi="Times New Roman" w:eastAsia="黑体" w:cs="Times New Roman"/>
          <w:bCs/>
          <w:color w:val="auto"/>
          <w:kern w:val="44"/>
          <w:sz w:val="32"/>
          <w:szCs w:val="32"/>
          <w:lang w:val="zh-CN" w:eastAsia="zh-CN" w:bidi="ar-SA"/>
        </w:rPr>
        <w:t>部门</w:t>
      </w:r>
      <w:r>
        <w:rPr>
          <w:rFonts w:hint="eastAsia"/>
          <w:color w:val="auto"/>
          <w:szCs w:val="32"/>
          <w:lang w:val="en-US" w:eastAsia="zh-CN"/>
        </w:rPr>
        <w:t>重点</w:t>
      </w:r>
      <w:r>
        <w:rPr>
          <w:rFonts w:hint="eastAsia" w:ascii="Times New Roman" w:hAnsi="Times New Roman" w:eastAsia="黑体" w:cs="Times New Roman"/>
          <w:bCs/>
          <w:color w:val="auto"/>
          <w:kern w:val="44"/>
          <w:sz w:val="32"/>
          <w:szCs w:val="32"/>
          <w:lang w:val="zh-CN" w:eastAsia="zh-CN" w:bidi="ar-SA"/>
        </w:rPr>
        <w:t>履职效能</w:t>
      </w:r>
      <w:bookmarkEnd w:id="497"/>
    </w:p>
    <w:p w14:paraId="057EC381">
      <w:pPr>
        <w:pStyle w:val="5"/>
        <w:pageBreakBefore w:val="0"/>
        <w:widowControl w:val="0"/>
        <w:kinsoku/>
        <w:wordWrap/>
        <w:overflowPunct/>
        <w:topLinePunct w:val="0"/>
        <w:autoSpaceDE/>
        <w:autoSpaceDN/>
        <w:bidi w:val="0"/>
        <w:spacing w:line="560" w:lineRule="exact"/>
        <w:ind w:firstLine="643" w:firstLineChars="200"/>
        <w:textAlignment w:val="auto"/>
        <w:rPr>
          <w:color w:val="auto"/>
        </w:rPr>
      </w:pPr>
      <w:bookmarkStart w:id="498" w:name="_Toc21093"/>
      <w:r>
        <w:rPr>
          <w:rFonts w:hint="eastAsia"/>
          <w:color w:val="auto"/>
        </w:rPr>
        <w:t>部门履职的年度总体目标</w:t>
      </w:r>
      <w:bookmarkEnd w:id="498"/>
    </w:p>
    <w:p w14:paraId="638AD4E7">
      <w:pPr>
        <w:pStyle w:val="4"/>
        <w:pageBreakBefore w:val="0"/>
        <w:widowControl w:val="0"/>
        <w:kinsoku/>
        <w:wordWrap/>
        <w:overflowPunct/>
        <w:topLinePunct w:val="0"/>
        <w:autoSpaceDE/>
        <w:autoSpaceDN/>
        <w:bidi w:val="0"/>
        <w:spacing w:line="560" w:lineRule="exact"/>
        <w:ind w:firstLine="640" w:firstLineChars="200"/>
        <w:textAlignment w:val="auto"/>
        <w:rPr>
          <w:rFonts w:hint="default"/>
          <w:color w:val="auto"/>
          <w:lang w:val="en-US" w:eastAsia="zh-CN"/>
        </w:rPr>
      </w:pPr>
      <w:r>
        <w:rPr>
          <w:rFonts w:hint="eastAsia"/>
          <w:color w:val="auto"/>
          <w:lang w:val="en-US" w:eastAsia="zh-CN"/>
        </w:rPr>
        <w:t>2021年，紫竹路小学</w:t>
      </w:r>
      <w:r>
        <w:rPr>
          <w:rFonts w:hint="default"/>
          <w:color w:val="auto"/>
          <w:lang w:val="en-US" w:eastAsia="zh-CN"/>
        </w:rPr>
        <w:t>按照市委、市政府总体部署和全省</w:t>
      </w:r>
      <w:r>
        <w:rPr>
          <w:rFonts w:hint="eastAsia"/>
          <w:color w:val="auto"/>
          <w:lang w:val="en-US" w:eastAsia="zh-CN"/>
        </w:rPr>
        <w:t>教育教学</w:t>
      </w:r>
      <w:r>
        <w:rPr>
          <w:rFonts w:hint="default"/>
          <w:color w:val="auto"/>
          <w:lang w:val="en-US" w:eastAsia="zh-CN"/>
        </w:rPr>
        <w:t>工作要求</w:t>
      </w:r>
      <w:r>
        <w:rPr>
          <w:rFonts w:hint="eastAsia"/>
          <w:color w:val="auto"/>
          <w:lang w:val="en-US" w:eastAsia="zh-CN"/>
        </w:rPr>
        <w:t>，以办高质量学校、做高质量教育为目标，持续贯彻党建引领学校各项工作的价值导向，深入挖掘育人内涵。同时贯彻落实校际交流工作，推进提升工程2.0工作。</w:t>
      </w:r>
    </w:p>
    <w:p w14:paraId="7026266D">
      <w:pPr>
        <w:pStyle w:val="5"/>
        <w:pageBreakBefore w:val="0"/>
        <w:widowControl w:val="0"/>
        <w:kinsoku/>
        <w:wordWrap/>
        <w:overflowPunct/>
        <w:topLinePunct w:val="0"/>
        <w:autoSpaceDE/>
        <w:autoSpaceDN/>
        <w:bidi w:val="0"/>
        <w:spacing w:line="560" w:lineRule="exact"/>
        <w:ind w:firstLine="643" w:firstLineChars="200"/>
        <w:textAlignment w:val="auto"/>
        <w:rPr>
          <w:color w:val="auto"/>
        </w:rPr>
      </w:pPr>
      <w:bookmarkStart w:id="499" w:name="_Toc25542"/>
      <w:r>
        <w:rPr>
          <w:rFonts w:hint="eastAsia"/>
          <w:color w:val="auto"/>
        </w:rPr>
        <w:t>重点工作任务绩效目标完成情况</w:t>
      </w:r>
      <w:bookmarkEnd w:id="499"/>
    </w:p>
    <w:p w14:paraId="2944D1C8">
      <w:pPr>
        <w:pStyle w:val="6"/>
        <w:pageBreakBefore w:val="0"/>
        <w:numPr>
          <w:ilvl w:val="2"/>
          <w:numId w:val="0"/>
        </w:numPr>
        <w:kinsoku/>
        <w:wordWrap/>
        <w:overflowPunct/>
        <w:topLinePunct w:val="0"/>
        <w:autoSpaceDE/>
        <w:autoSpaceDN/>
        <w:bidi w:val="0"/>
        <w:adjustRightInd/>
        <w:spacing w:line="560" w:lineRule="exact"/>
        <w:ind w:leftChars="0" w:firstLine="643" w:firstLineChars="200"/>
        <w:rPr>
          <w:rFonts w:hint="eastAsia"/>
          <w:b/>
          <w:bCs w:val="0"/>
          <w:color w:val="auto"/>
          <w:lang w:val="en-US" w:eastAsia="zh-CN"/>
        </w:rPr>
      </w:pPr>
      <w:r>
        <w:rPr>
          <w:rFonts w:hint="eastAsia"/>
          <w:b/>
          <w:bCs w:val="0"/>
          <w:color w:val="auto"/>
          <w:lang w:val="en-US" w:eastAsia="zh-CN"/>
        </w:rPr>
        <w:t>1.高质量教育教学工作</w:t>
      </w:r>
    </w:p>
    <w:p w14:paraId="281299B9">
      <w:pPr>
        <w:pStyle w:val="4"/>
        <w:pageBreakBefore w:val="0"/>
        <w:widowControl w:val="0"/>
        <w:kinsoku/>
        <w:wordWrap/>
        <w:overflowPunct/>
        <w:topLinePunct w:val="0"/>
        <w:autoSpaceDE/>
        <w:autoSpaceDN/>
        <w:bidi w:val="0"/>
        <w:spacing w:line="560" w:lineRule="exact"/>
        <w:ind w:firstLine="640" w:firstLineChars="200"/>
        <w:textAlignment w:val="auto"/>
        <w:rPr>
          <w:rFonts w:hint="default"/>
          <w:color w:val="auto"/>
          <w:lang w:val="en-US" w:eastAsia="zh-CN"/>
        </w:rPr>
      </w:pPr>
      <w:r>
        <w:rPr>
          <w:rFonts w:hint="eastAsia"/>
          <w:color w:val="auto"/>
          <w:lang w:val="en-US" w:eastAsia="zh-CN"/>
        </w:rPr>
        <w:t>紫竹路小学顺利完成2021年教育教学活动，遵循学生成长规律和教育规律，落实德智体美劳全面培养要求，在开展日常教育教学的基础上，坚决贯彻中央决策部署，深入推进“双减”工作，通过融创课程、空中课程开展了丰富多彩的课后精品课程。</w:t>
      </w:r>
    </w:p>
    <w:p w14:paraId="30934767">
      <w:pPr>
        <w:pStyle w:val="6"/>
        <w:pageBreakBefore w:val="0"/>
        <w:numPr>
          <w:ilvl w:val="2"/>
          <w:numId w:val="0"/>
        </w:numPr>
        <w:kinsoku/>
        <w:wordWrap/>
        <w:overflowPunct/>
        <w:topLinePunct w:val="0"/>
        <w:autoSpaceDE/>
        <w:autoSpaceDN/>
        <w:bidi w:val="0"/>
        <w:adjustRightInd/>
        <w:spacing w:line="560" w:lineRule="exact"/>
        <w:ind w:leftChars="0" w:firstLine="643" w:firstLineChars="200"/>
        <w:rPr>
          <w:rFonts w:hint="eastAsia"/>
          <w:b/>
          <w:bCs w:val="0"/>
          <w:color w:val="auto"/>
          <w:lang w:val="en-US" w:eastAsia="zh-CN"/>
        </w:rPr>
      </w:pPr>
      <w:r>
        <w:rPr>
          <w:rFonts w:hint="eastAsia"/>
          <w:b/>
          <w:bCs w:val="0"/>
          <w:color w:val="auto"/>
          <w:lang w:val="en-US" w:eastAsia="zh-CN"/>
        </w:rPr>
        <w:t>2.党建工作</w:t>
      </w:r>
    </w:p>
    <w:p w14:paraId="1AFFAD8F">
      <w:pPr>
        <w:pStyle w:val="4"/>
        <w:pageBreakBefore w:val="0"/>
        <w:widowControl w:val="0"/>
        <w:kinsoku/>
        <w:wordWrap/>
        <w:overflowPunct/>
        <w:topLinePunct w:val="0"/>
        <w:autoSpaceDE/>
        <w:autoSpaceDN/>
        <w:bidi w:val="0"/>
        <w:spacing w:line="560" w:lineRule="exact"/>
        <w:ind w:firstLine="640" w:firstLineChars="200"/>
        <w:textAlignment w:val="auto"/>
        <w:rPr>
          <w:rFonts w:hint="eastAsia"/>
          <w:color w:val="auto"/>
          <w:lang w:val="en-US" w:eastAsia="zh-CN"/>
        </w:rPr>
      </w:pPr>
      <w:r>
        <w:rPr>
          <w:rFonts w:hint="eastAsia"/>
          <w:color w:val="auto"/>
          <w:lang w:val="en-US" w:eastAsia="zh-CN"/>
        </w:rPr>
        <w:t>紫竹路小学自2021年5月起，学校先后接受省委巡视组、省委组织部、省教育厅、团中央以及遂宁市内各级各类部门领导调研党史学习教育工作十余次，受到省委巡视组、省教育厅等单位的高度肯定。</w:t>
      </w:r>
    </w:p>
    <w:p w14:paraId="7F055E40">
      <w:pPr>
        <w:pStyle w:val="6"/>
        <w:pageBreakBefore w:val="0"/>
        <w:numPr>
          <w:ilvl w:val="2"/>
          <w:numId w:val="0"/>
        </w:numPr>
        <w:kinsoku/>
        <w:wordWrap/>
        <w:overflowPunct/>
        <w:topLinePunct w:val="0"/>
        <w:autoSpaceDE/>
        <w:autoSpaceDN/>
        <w:bidi w:val="0"/>
        <w:adjustRightInd/>
        <w:spacing w:line="560" w:lineRule="exact"/>
        <w:ind w:leftChars="0" w:firstLine="643" w:firstLineChars="200"/>
        <w:rPr>
          <w:rFonts w:hint="default"/>
          <w:b/>
          <w:bCs w:val="0"/>
          <w:color w:val="auto"/>
          <w:lang w:val="en-US" w:eastAsia="zh-CN"/>
        </w:rPr>
      </w:pPr>
      <w:r>
        <w:rPr>
          <w:rFonts w:hint="eastAsia"/>
          <w:b/>
          <w:bCs w:val="0"/>
          <w:color w:val="auto"/>
          <w:lang w:val="en-US" w:eastAsia="zh-CN"/>
        </w:rPr>
        <w:t>3.校际交流工作</w:t>
      </w:r>
    </w:p>
    <w:p w14:paraId="2938A2B0">
      <w:pPr>
        <w:pStyle w:val="4"/>
        <w:pageBreakBefore w:val="0"/>
        <w:widowControl w:val="0"/>
        <w:kinsoku/>
        <w:wordWrap/>
        <w:overflowPunct/>
        <w:topLinePunct w:val="0"/>
        <w:autoSpaceDE/>
        <w:autoSpaceDN/>
        <w:bidi w:val="0"/>
        <w:spacing w:line="560" w:lineRule="exact"/>
        <w:ind w:firstLine="640" w:firstLineChars="200"/>
        <w:textAlignment w:val="auto"/>
        <w:rPr>
          <w:rFonts w:hint="eastAsia"/>
          <w:color w:val="auto"/>
          <w:lang w:val="en-US" w:eastAsia="zh-CN"/>
        </w:rPr>
      </w:pPr>
      <w:r>
        <w:rPr>
          <w:rFonts w:hint="eastAsia"/>
          <w:color w:val="auto"/>
          <w:lang w:val="en-US" w:eastAsia="zh-CN"/>
        </w:rPr>
        <w:t>2021年7月，紫竹路小学贯彻落实成遂“共建跨区域产业生态圈深化成遂一体化发展合作协议”，与成都市百年名校成都市实验小学结对并前世合作框架协议。2021年10月，在中国（四川）—以色列创新教育与姊妹学校国际合作教育论坛中，作为全省十所学校与以色列哈代拉tali小学结为姊妹学校。同时，学校发挥自身优势，广泛利用学术引领，辐射市内外包含高新区物流港小学、射洪太和一小、内江资中县水南街中心学校在内的多所学校。2021年12月，对口支援帮扶理县桃坪小学。</w:t>
      </w:r>
    </w:p>
    <w:p w14:paraId="2B39B3D8">
      <w:pPr>
        <w:pStyle w:val="6"/>
        <w:pageBreakBefore w:val="0"/>
        <w:numPr>
          <w:ilvl w:val="2"/>
          <w:numId w:val="0"/>
        </w:numPr>
        <w:kinsoku/>
        <w:wordWrap/>
        <w:overflowPunct/>
        <w:topLinePunct w:val="0"/>
        <w:autoSpaceDE/>
        <w:autoSpaceDN/>
        <w:bidi w:val="0"/>
        <w:adjustRightInd/>
        <w:spacing w:line="560" w:lineRule="exact"/>
        <w:ind w:leftChars="0" w:firstLine="643" w:firstLineChars="200"/>
        <w:rPr>
          <w:rFonts w:hint="eastAsia"/>
          <w:b/>
          <w:bCs w:val="0"/>
          <w:color w:val="auto"/>
          <w:lang w:val="en-US" w:eastAsia="zh-CN"/>
        </w:rPr>
      </w:pPr>
      <w:r>
        <w:rPr>
          <w:rFonts w:hint="eastAsia"/>
          <w:b/>
          <w:bCs w:val="0"/>
          <w:color w:val="auto"/>
          <w:lang w:val="en-US" w:eastAsia="zh-CN"/>
        </w:rPr>
        <w:t>4.能力提升工程2.0工作</w:t>
      </w:r>
    </w:p>
    <w:p w14:paraId="69B4AEC3">
      <w:pPr>
        <w:pStyle w:val="4"/>
        <w:pageBreakBefore w:val="0"/>
        <w:widowControl w:val="0"/>
        <w:kinsoku/>
        <w:wordWrap/>
        <w:overflowPunct/>
        <w:topLinePunct w:val="0"/>
        <w:autoSpaceDE/>
        <w:autoSpaceDN/>
        <w:bidi w:val="0"/>
        <w:spacing w:line="560" w:lineRule="exact"/>
        <w:ind w:firstLine="640" w:firstLineChars="200"/>
        <w:textAlignment w:val="auto"/>
        <w:rPr>
          <w:rFonts w:hint="eastAsia"/>
          <w:color w:val="auto"/>
          <w:highlight w:val="none"/>
          <w:lang w:val="en-US" w:eastAsia="zh-CN"/>
        </w:rPr>
      </w:pPr>
      <w:r>
        <w:rPr>
          <w:rFonts w:hint="eastAsia"/>
          <w:color w:val="auto"/>
          <w:lang w:val="en-US" w:eastAsia="zh-CN"/>
        </w:rPr>
        <w:t>紫竹路小学作为遂宁市能力提升工程2.0市级样板校，结合学校实际情况</w:t>
      </w:r>
      <w:r>
        <w:rPr>
          <w:rFonts w:hint="eastAsia"/>
          <w:color w:val="auto"/>
          <w:highlight w:val="none"/>
          <w:lang w:val="en-US" w:eastAsia="zh-CN"/>
        </w:rPr>
        <w:t>，形成了《中小学教师信息技术应用能力提升工程2.0 整校推进计划》和《应时而用、应事而用、应人而用，</w:t>
      </w:r>
    </w:p>
    <w:p w14:paraId="052AD71B">
      <w:pPr>
        <w:pStyle w:val="4"/>
        <w:pageBreakBefore w:val="0"/>
        <w:widowControl w:val="0"/>
        <w:kinsoku/>
        <w:wordWrap/>
        <w:overflowPunct/>
        <w:topLinePunct w:val="0"/>
        <w:autoSpaceDE/>
        <w:autoSpaceDN/>
        <w:bidi w:val="0"/>
        <w:spacing w:line="560" w:lineRule="exact"/>
        <w:ind w:left="0" w:leftChars="0" w:firstLine="0" w:firstLineChars="0"/>
        <w:textAlignment w:val="auto"/>
        <w:rPr>
          <w:rFonts w:hint="eastAsia"/>
          <w:color w:val="auto"/>
          <w:lang w:val="en-US" w:eastAsia="zh-CN"/>
        </w:rPr>
      </w:pPr>
      <w:r>
        <w:rPr>
          <w:rFonts w:hint="eastAsia"/>
          <w:color w:val="auto"/>
          <w:highlight w:val="none"/>
          <w:lang w:val="en-US" w:eastAsia="zh-CN"/>
        </w:rPr>
        <w:t>构建真实的信息技术应用能力体系》成果，</w:t>
      </w:r>
      <w:r>
        <w:rPr>
          <w:rFonts w:hint="eastAsia"/>
          <w:color w:val="auto"/>
          <w:lang w:val="en-US" w:eastAsia="zh-CN"/>
        </w:rPr>
        <w:t>被遂宁市教育和体育局推送省教厅参评，省教厅将其作为全省5项典型案例推送到</w:t>
      </w:r>
      <w:bookmarkStart w:id="560" w:name="_GoBack"/>
      <w:bookmarkEnd w:id="560"/>
      <w:r>
        <w:rPr>
          <w:rFonts w:hint="eastAsia"/>
          <w:color w:val="auto"/>
          <w:lang w:val="en-US" w:eastAsia="zh-CN"/>
        </w:rPr>
        <w:t>教育部工程办，工程办评价:紫竹路小学案例紧密结合本校特色和实际需求，详细阐述了整校推进的目标、路径和成效，内容丰富且富有特色。2021年12月17日，赴成都为教育部能力提升工程2.0领导专家组做专题汇报，受到一致好评。</w:t>
      </w:r>
    </w:p>
    <w:p w14:paraId="3F2EE89D">
      <w:pPr>
        <w:pStyle w:val="3"/>
        <w:pageBreakBefore w:val="0"/>
        <w:widowControl w:val="0"/>
        <w:numPr>
          <w:ilvl w:val="0"/>
          <w:numId w:val="0"/>
        </w:numPr>
        <w:kinsoku/>
        <w:wordWrap/>
        <w:overflowPunct/>
        <w:topLinePunct w:val="0"/>
        <w:autoSpaceDE/>
        <w:autoSpaceDN/>
        <w:bidi w:val="0"/>
        <w:spacing w:line="560" w:lineRule="exact"/>
        <w:ind w:firstLine="640" w:firstLineChars="200"/>
        <w:textAlignment w:val="auto"/>
        <w:rPr>
          <w:rFonts w:hint="default" w:eastAsia="黑体"/>
          <w:color w:val="auto"/>
          <w:lang w:val="en-US" w:eastAsia="zh-CN"/>
        </w:rPr>
      </w:pPr>
      <w:bookmarkStart w:id="500" w:name="_Toc24336"/>
      <w:r>
        <w:rPr>
          <w:rFonts w:hint="eastAsia"/>
          <w:color w:val="auto"/>
          <w:lang w:val="en-US" w:eastAsia="zh-CN"/>
        </w:rPr>
        <w:t>五、</w:t>
      </w:r>
      <w:r>
        <w:rPr>
          <w:rFonts w:hint="eastAsia"/>
          <w:color w:val="auto"/>
        </w:rPr>
        <w:t>评价结论</w:t>
      </w:r>
      <w:r>
        <w:rPr>
          <w:rFonts w:hint="eastAsia"/>
          <w:color w:val="auto"/>
          <w:lang w:val="en-US" w:eastAsia="zh-CN"/>
        </w:rPr>
        <w:t>及绩效分析</w:t>
      </w:r>
      <w:bookmarkEnd w:id="500"/>
    </w:p>
    <w:p w14:paraId="6FE55B86">
      <w:pPr>
        <w:pStyle w:val="5"/>
        <w:pageBreakBefore w:val="0"/>
        <w:widowControl w:val="0"/>
        <w:numPr>
          <w:ilvl w:val="1"/>
          <w:numId w:val="0"/>
        </w:numPr>
        <w:kinsoku/>
        <w:wordWrap/>
        <w:overflowPunct/>
        <w:topLinePunct w:val="0"/>
        <w:autoSpaceDE/>
        <w:autoSpaceDN/>
        <w:bidi w:val="0"/>
        <w:spacing w:line="560" w:lineRule="exact"/>
        <w:ind w:leftChars="0" w:firstLine="643" w:firstLineChars="200"/>
        <w:textAlignment w:val="auto"/>
        <w:rPr>
          <w:rFonts w:hint="default" w:eastAsia="仿宋_GB2312"/>
          <w:color w:val="auto"/>
          <w:lang w:val="en-US" w:eastAsia="zh-CN"/>
        </w:rPr>
      </w:pPr>
      <w:bookmarkStart w:id="501" w:name="_Toc22558"/>
      <w:r>
        <w:rPr>
          <w:rFonts w:hint="eastAsia"/>
          <w:color w:val="auto"/>
          <w:lang w:eastAsia="zh-CN"/>
        </w:rPr>
        <w:t>（</w:t>
      </w:r>
      <w:r>
        <w:rPr>
          <w:rFonts w:hint="eastAsia"/>
          <w:color w:val="auto"/>
          <w:lang w:val="en-US" w:eastAsia="zh-CN"/>
        </w:rPr>
        <w:t>一）</w:t>
      </w:r>
      <w:r>
        <w:rPr>
          <w:rFonts w:hint="eastAsia"/>
          <w:color w:val="auto"/>
        </w:rPr>
        <w:t>评价结论</w:t>
      </w:r>
      <w:bookmarkEnd w:id="501"/>
    </w:p>
    <w:p w14:paraId="13379EE3">
      <w:pPr>
        <w:pStyle w:val="7"/>
        <w:pageBreakBefore w:val="0"/>
        <w:kinsoku/>
        <w:wordWrap/>
        <w:overflowPunct/>
        <w:topLinePunct w:val="0"/>
        <w:autoSpaceDE/>
        <w:autoSpaceDN/>
        <w:bidi w:val="0"/>
        <w:spacing w:line="560" w:lineRule="exact"/>
        <w:ind w:firstLine="640" w:firstLineChars="200"/>
        <w:rPr>
          <w:rFonts w:hint="eastAsia" w:ascii="Times New Roman" w:hAnsi="Times New Roman" w:eastAsia="仿宋_GB2312" w:cs="Times New Roman"/>
          <w:color w:val="auto"/>
          <w:kern w:val="0"/>
          <w:sz w:val="32"/>
          <w:szCs w:val="28"/>
          <w:lang w:val="zh-CN" w:eastAsia="zh-CN"/>
        </w:rPr>
      </w:pPr>
      <w:r>
        <w:rPr>
          <w:rFonts w:hint="eastAsia" w:ascii="Times New Roman" w:hAnsi="Times New Roman" w:eastAsia="仿宋_GB2312" w:cs="Times New Roman"/>
          <w:color w:val="auto"/>
          <w:kern w:val="0"/>
          <w:sz w:val="32"/>
          <w:szCs w:val="28"/>
          <w:lang w:val="zh-CN" w:eastAsia="zh-CN"/>
        </w:rPr>
        <w:t>20</w:t>
      </w:r>
      <w:r>
        <w:rPr>
          <w:rFonts w:hint="eastAsia" w:ascii="Times New Roman" w:hAnsi="Times New Roman" w:eastAsia="仿宋_GB2312" w:cs="Times New Roman"/>
          <w:color w:val="auto"/>
          <w:kern w:val="0"/>
          <w:sz w:val="32"/>
          <w:szCs w:val="28"/>
          <w:lang w:val="en-US" w:eastAsia="zh-CN"/>
        </w:rPr>
        <w:t>21</w:t>
      </w:r>
      <w:r>
        <w:rPr>
          <w:rFonts w:hint="eastAsia" w:ascii="Times New Roman" w:hAnsi="Times New Roman" w:eastAsia="仿宋_GB2312" w:cs="Times New Roman"/>
          <w:color w:val="auto"/>
          <w:kern w:val="0"/>
          <w:sz w:val="32"/>
          <w:szCs w:val="28"/>
          <w:lang w:val="zh-CN" w:eastAsia="zh-CN"/>
        </w:rPr>
        <w:t>年度遂宁市河东新区紫竹路小学校部门整体支出绩效评价综合</w:t>
      </w:r>
      <w:r>
        <w:rPr>
          <w:rFonts w:hint="eastAsia" w:ascii="Times New Roman" w:hAnsi="Times New Roman" w:eastAsia="仿宋_GB2312" w:cs="Times New Roman"/>
          <w:color w:val="auto"/>
          <w:kern w:val="0"/>
          <w:sz w:val="32"/>
          <w:szCs w:val="28"/>
          <w:lang w:val="en-US" w:eastAsia="zh-CN"/>
        </w:rPr>
        <w:t>得分为77.67分，</w:t>
      </w:r>
      <w:r>
        <w:rPr>
          <w:rFonts w:hint="eastAsia" w:ascii="Times New Roman" w:hAnsi="Times New Roman" w:eastAsia="仿宋_GB2312" w:cs="Times New Roman"/>
          <w:color w:val="auto"/>
          <w:kern w:val="0"/>
          <w:sz w:val="32"/>
          <w:szCs w:val="28"/>
          <w:lang w:val="zh-CN" w:eastAsia="zh-CN"/>
        </w:rPr>
        <w:t>具体评分情况见附件</w:t>
      </w:r>
      <w:r>
        <w:rPr>
          <w:rFonts w:hint="eastAsia" w:ascii="Times New Roman" w:hAnsi="Times New Roman" w:eastAsia="仿宋_GB2312" w:cs="Times New Roman"/>
          <w:color w:val="auto"/>
          <w:kern w:val="0"/>
          <w:sz w:val="32"/>
          <w:szCs w:val="28"/>
          <w:lang w:val="en-US" w:eastAsia="zh-CN"/>
        </w:rPr>
        <w:t>1，</w:t>
      </w:r>
      <w:r>
        <w:rPr>
          <w:rFonts w:hint="eastAsia" w:ascii="Times New Roman" w:hAnsi="Times New Roman" w:eastAsia="仿宋_GB2312" w:cs="Times New Roman"/>
          <w:color w:val="auto"/>
          <w:kern w:val="0"/>
          <w:sz w:val="32"/>
          <w:szCs w:val="28"/>
          <w:lang w:val="zh-CN"/>
        </w:rPr>
        <w:t>指标评分得详见下表</w:t>
      </w:r>
      <w:r>
        <w:rPr>
          <w:rFonts w:hint="eastAsia" w:ascii="Times New Roman" w:hAnsi="Times New Roman" w:eastAsia="仿宋_GB2312" w:cs="Times New Roman"/>
          <w:color w:val="auto"/>
          <w:kern w:val="0"/>
          <w:sz w:val="32"/>
          <w:szCs w:val="28"/>
          <w:lang w:val="en-US" w:eastAsia="zh-CN"/>
        </w:rPr>
        <w:t>3</w:t>
      </w:r>
      <w:r>
        <w:rPr>
          <w:rFonts w:hint="eastAsia" w:ascii="Times New Roman" w:hAnsi="Times New Roman" w:eastAsia="仿宋_GB2312" w:cs="Times New Roman"/>
          <w:color w:val="auto"/>
          <w:kern w:val="0"/>
          <w:sz w:val="32"/>
          <w:szCs w:val="28"/>
          <w:lang w:val="zh-CN" w:eastAsia="zh-CN"/>
        </w:rPr>
        <w:t>。</w:t>
      </w:r>
    </w:p>
    <w:p w14:paraId="0BCC9D37">
      <w:pPr>
        <w:pStyle w:val="16"/>
        <w:pageBreakBefore w:val="0"/>
        <w:kinsoku/>
        <w:wordWrap/>
        <w:overflowPunct/>
        <w:topLinePunct w:val="0"/>
        <w:autoSpaceDE/>
        <w:autoSpaceDN/>
        <w:bidi w:val="0"/>
        <w:spacing w:line="560" w:lineRule="exact"/>
        <w:ind w:firstLine="482" w:firstLineChars="200"/>
        <w:textAlignment w:val="auto"/>
        <w:rPr>
          <w:color w:val="auto"/>
        </w:rPr>
      </w:pPr>
      <w:r>
        <w:rPr>
          <w:color w:val="auto"/>
        </w:rPr>
        <w:t>表</w:t>
      </w:r>
      <w:r>
        <w:rPr>
          <w:rFonts w:hint="eastAsia"/>
          <w:color w:val="auto"/>
          <w:lang w:val="en-US" w:eastAsia="zh-CN"/>
        </w:rPr>
        <w:t>3</w:t>
      </w:r>
      <w:r>
        <w:rPr>
          <w:rFonts w:hint="eastAsia"/>
          <w:color w:val="auto"/>
        </w:rPr>
        <w:t xml:space="preserve">  </w:t>
      </w:r>
      <w:r>
        <w:rPr>
          <w:color w:val="auto"/>
        </w:rPr>
        <w:t>20</w:t>
      </w:r>
      <w:r>
        <w:rPr>
          <w:rFonts w:hint="eastAsia"/>
          <w:color w:val="auto"/>
          <w:lang w:val="en-US" w:eastAsia="zh-CN"/>
        </w:rPr>
        <w:t>21</w:t>
      </w:r>
      <w:r>
        <w:rPr>
          <w:color w:val="auto"/>
        </w:rPr>
        <w:t>年</w:t>
      </w:r>
      <w:r>
        <w:rPr>
          <w:rFonts w:hint="eastAsia"/>
          <w:color w:val="auto"/>
          <w:lang w:val="en-US" w:eastAsia="zh-CN"/>
        </w:rPr>
        <w:t>遂宁市河东新区紫竹路小学校部门</w:t>
      </w:r>
      <w:r>
        <w:rPr>
          <w:color w:val="auto"/>
        </w:rPr>
        <w:t>整体支出绩效</w:t>
      </w:r>
      <w:r>
        <w:rPr>
          <w:rFonts w:hint="eastAsia"/>
          <w:color w:val="auto"/>
          <w:lang w:eastAsia="zh-CN"/>
        </w:rPr>
        <w:t>评</w:t>
      </w:r>
      <w:r>
        <w:rPr>
          <w:rFonts w:hint="eastAsia"/>
          <w:color w:val="auto"/>
          <w:lang w:val="en-US" w:eastAsia="zh-CN"/>
        </w:rPr>
        <w:t>价</w:t>
      </w:r>
      <w:r>
        <w:rPr>
          <w:rFonts w:hint="eastAsia"/>
          <w:color w:val="auto"/>
          <w:lang w:eastAsia="zh-CN"/>
        </w:rPr>
        <w:t>得</w:t>
      </w:r>
      <w:r>
        <w:rPr>
          <w:rFonts w:hint="eastAsia"/>
          <w:color w:val="auto"/>
          <w:lang w:val="en-US" w:eastAsia="zh-CN"/>
        </w:rPr>
        <w:t>分</w:t>
      </w:r>
      <w:r>
        <w:rPr>
          <w:color w:val="auto"/>
        </w:rPr>
        <w:t>情况表</w:t>
      </w:r>
    </w:p>
    <w:tbl>
      <w:tblPr>
        <w:tblStyle w:val="10"/>
        <w:tblW w:w="4997" w:type="pct"/>
        <w:tblInd w:w="0" w:type="dxa"/>
        <w:shd w:val="clear" w:color="auto" w:fill="auto"/>
        <w:tblLayout w:type="autofit"/>
        <w:tblCellMar>
          <w:top w:w="0" w:type="dxa"/>
          <w:left w:w="108" w:type="dxa"/>
          <w:bottom w:w="0" w:type="dxa"/>
          <w:right w:w="108" w:type="dxa"/>
        </w:tblCellMar>
      </w:tblPr>
      <w:tblGrid>
        <w:gridCol w:w="1892"/>
        <w:gridCol w:w="1878"/>
        <w:gridCol w:w="1871"/>
        <w:gridCol w:w="952"/>
        <w:gridCol w:w="1119"/>
        <w:gridCol w:w="1119"/>
      </w:tblGrid>
      <w:tr w14:paraId="281DE488">
        <w:tblPrEx>
          <w:shd w:val="clear" w:color="auto" w:fill="auto"/>
          <w:tblCellMar>
            <w:top w:w="0" w:type="dxa"/>
            <w:left w:w="108" w:type="dxa"/>
            <w:bottom w:w="0" w:type="dxa"/>
            <w:right w:w="108" w:type="dxa"/>
          </w:tblCellMar>
        </w:tblPrEx>
        <w:trPr>
          <w:trHeight w:val="441" w:hRule="atLeast"/>
        </w:trPr>
        <w:tc>
          <w:tcPr>
            <w:tcW w:w="3193"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D6AB406">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绩效指标</w:t>
            </w:r>
          </w:p>
        </w:tc>
        <w:tc>
          <w:tcPr>
            <w:tcW w:w="53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8DD95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指标分值</w:t>
            </w:r>
          </w:p>
        </w:tc>
        <w:tc>
          <w:tcPr>
            <w:tcW w:w="63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6677E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得分</w:t>
            </w:r>
          </w:p>
        </w:tc>
        <w:tc>
          <w:tcPr>
            <w:tcW w:w="633" w:type="pct"/>
            <w:vMerge w:val="restart"/>
            <w:tcBorders>
              <w:top w:val="single" w:color="000000" w:sz="4" w:space="0"/>
              <w:left w:val="single" w:color="000000" w:sz="4" w:space="0"/>
              <w:right w:val="single" w:color="000000" w:sz="4" w:space="0"/>
            </w:tcBorders>
            <w:shd w:val="clear" w:color="auto" w:fill="auto"/>
            <w:vAlign w:val="center"/>
          </w:tcPr>
          <w:p w14:paraId="06912F37">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扣分</w:t>
            </w:r>
          </w:p>
        </w:tc>
      </w:tr>
      <w:tr w14:paraId="177F0DFE">
        <w:tblPrEx>
          <w:tblCellMar>
            <w:top w:w="0" w:type="dxa"/>
            <w:left w:w="108" w:type="dxa"/>
            <w:bottom w:w="0" w:type="dxa"/>
            <w:right w:w="108" w:type="dxa"/>
          </w:tblCellMar>
        </w:tblPrEx>
        <w:trPr>
          <w:trHeight w:val="345" w:hRule="atLeast"/>
        </w:trPr>
        <w:tc>
          <w:tcPr>
            <w:tcW w:w="10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A3742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一级指标</w:t>
            </w:r>
          </w:p>
        </w:tc>
        <w:tc>
          <w:tcPr>
            <w:tcW w:w="10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287BEA">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二级指标</w:t>
            </w:r>
          </w:p>
        </w:tc>
        <w:tc>
          <w:tcPr>
            <w:tcW w:w="1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D9944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三级指标</w:t>
            </w:r>
          </w:p>
        </w:tc>
        <w:tc>
          <w:tcPr>
            <w:tcW w:w="5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0779B4">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63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AF0B2C">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633" w:type="pct"/>
            <w:vMerge w:val="continue"/>
            <w:tcBorders>
              <w:left w:val="single" w:color="000000" w:sz="4" w:space="0"/>
              <w:bottom w:val="single" w:color="000000" w:sz="4" w:space="0"/>
              <w:right w:val="single" w:color="000000" w:sz="4" w:space="0"/>
            </w:tcBorders>
            <w:shd w:val="clear" w:color="auto" w:fill="auto"/>
            <w:vAlign w:val="center"/>
          </w:tcPr>
          <w:p w14:paraId="5708DC69">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r>
      <w:tr w14:paraId="0FFFC31E">
        <w:tblPrEx>
          <w:tblCellMar>
            <w:top w:w="0" w:type="dxa"/>
            <w:left w:w="108" w:type="dxa"/>
            <w:bottom w:w="0" w:type="dxa"/>
            <w:right w:w="108" w:type="dxa"/>
          </w:tblCellMar>
        </w:tblPrEx>
        <w:trPr>
          <w:trHeight w:val="507" w:hRule="atLeast"/>
        </w:trPr>
        <w:tc>
          <w:tcPr>
            <w:tcW w:w="10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A394F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部门预算管理</w:t>
            </w:r>
          </w:p>
        </w:tc>
        <w:tc>
          <w:tcPr>
            <w:tcW w:w="106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4B09D7">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预算编制</w:t>
            </w:r>
          </w:p>
        </w:tc>
        <w:tc>
          <w:tcPr>
            <w:tcW w:w="1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BB5B4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目标制定</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CB8E74">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03D44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3E879A">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2</w:t>
            </w:r>
          </w:p>
        </w:tc>
      </w:tr>
      <w:tr w14:paraId="1E962A1A">
        <w:tblPrEx>
          <w:tblCellMar>
            <w:top w:w="0" w:type="dxa"/>
            <w:left w:w="108" w:type="dxa"/>
            <w:bottom w:w="0" w:type="dxa"/>
            <w:right w:w="108" w:type="dxa"/>
          </w:tblCellMar>
        </w:tblPrEx>
        <w:trPr>
          <w:trHeight w:val="458" w:hRule="atLeast"/>
        </w:trPr>
        <w:tc>
          <w:tcPr>
            <w:tcW w:w="10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667FBE">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6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23B3D9">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83D826">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目标实现</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850A30">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14E4F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1BDE9E">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z w:val="24"/>
                <w:szCs w:val="24"/>
                <w:u w:val="none"/>
                <w:lang w:val="en-US" w:eastAsia="zh-CN"/>
              </w:rPr>
              <w:t>0</w:t>
            </w:r>
          </w:p>
        </w:tc>
      </w:tr>
      <w:tr w14:paraId="15048807">
        <w:tblPrEx>
          <w:tblCellMar>
            <w:top w:w="0" w:type="dxa"/>
            <w:left w:w="108" w:type="dxa"/>
            <w:bottom w:w="0" w:type="dxa"/>
            <w:right w:w="108" w:type="dxa"/>
          </w:tblCellMar>
        </w:tblPrEx>
        <w:trPr>
          <w:trHeight w:val="466" w:hRule="atLeast"/>
        </w:trPr>
        <w:tc>
          <w:tcPr>
            <w:tcW w:w="10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0C6ACB">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6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41FC6E">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3EAA92">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编制准确</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34B69B">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6E6C0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7E6FBF">
            <w:pPr>
              <w:pageBreakBefore w:val="0"/>
              <w:wordWrap/>
              <w:overflowPunct/>
              <w:topLinePunct w:val="0"/>
              <w:bidi w:val="0"/>
              <w:spacing w:line="560" w:lineRule="exact"/>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10</w:t>
            </w:r>
          </w:p>
        </w:tc>
      </w:tr>
      <w:tr w14:paraId="32F111B3">
        <w:tblPrEx>
          <w:tblCellMar>
            <w:top w:w="0" w:type="dxa"/>
            <w:left w:w="108" w:type="dxa"/>
            <w:bottom w:w="0" w:type="dxa"/>
            <w:right w:w="108" w:type="dxa"/>
          </w:tblCellMar>
        </w:tblPrEx>
        <w:trPr>
          <w:trHeight w:val="394" w:hRule="atLeast"/>
        </w:trPr>
        <w:tc>
          <w:tcPr>
            <w:tcW w:w="10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7CF82C">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6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F11130">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预算执行</w:t>
            </w:r>
          </w:p>
        </w:tc>
        <w:tc>
          <w:tcPr>
            <w:tcW w:w="1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ED50B6">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支出控制</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4757D5">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9768E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45440F">
            <w:pPr>
              <w:pageBreakBefore w:val="0"/>
              <w:wordWrap/>
              <w:overflowPunct/>
              <w:topLinePunct w:val="0"/>
              <w:bidi w:val="0"/>
              <w:spacing w:line="560" w:lineRule="exact"/>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10</w:t>
            </w:r>
          </w:p>
        </w:tc>
      </w:tr>
      <w:tr w14:paraId="214BF2C4">
        <w:tblPrEx>
          <w:tblCellMar>
            <w:top w:w="0" w:type="dxa"/>
            <w:left w:w="108" w:type="dxa"/>
            <w:bottom w:w="0" w:type="dxa"/>
            <w:right w:w="108" w:type="dxa"/>
          </w:tblCellMar>
        </w:tblPrEx>
        <w:trPr>
          <w:trHeight w:val="462" w:hRule="atLeast"/>
        </w:trPr>
        <w:tc>
          <w:tcPr>
            <w:tcW w:w="10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DD184E">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6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DDCC5A">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1C7C9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动态调整</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E5C3A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B6463B">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DD11ED">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z w:val="24"/>
                <w:szCs w:val="24"/>
                <w:u w:val="none"/>
                <w:lang w:val="en-US" w:eastAsia="zh-CN"/>
              </w:rPr>
              <w:t>0</w:t>
            </w:r>
          </w:p>
        </w:tc>
      </w:tr>
      <w:tr w14:paraId="49D4C7B8">
        <w:tblPrEx>
          <w:tblCellMar>
            <w:top w:w="0" w:type="dxa"/>
            <w:left w:w="108" w:type="dxa"/>
            <w:bottom w:w="0" w:type="dxa"/>
            <w:right w:w="108" w:type="dxa"/>
          </w:tblCellMar>
        </w:tblPrEx>
        <w:trPr>
          <w:trHeight w:val="445" w:hRule="atLeast"/>
        </w:trPr>
        <w:tc>
          <w:tcPr>
            <w:tcW w:w="10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B4D621">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63" w:type="pct"/>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1E42C0B1">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59" w:type="pct"/>
            <w:tcBorders>
              <w:top w:val="single" w:color="000000" w:sz="4" w:space="0"/>
              <w:left w:val="single" w:color="000000" w:sz="4" w:space="0"/>
              <w:bottom w:val="single" w:color="auto" w:sz="4" w:space="0"/>
              <w:right w:val="single" w:color="000000" w:sz="4" w:space="0"/>
            </w:tcBorders>
            <w:shd w:val="clear" w:color="auto" w:fill="auto"/>
            <w:vAlign w:val="center"/>
          </w:tcPr>
          <w:p w14:paraId="5AEAFC65">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执行进度</w:t>
            </w:r>
          </w:p>
        </w:tc>
        <w:tc>
          <w:tcPr>
            <w:tcW w:w="539" w:type="pct"/>
            <w:tcBorders>
              <w:top w:val="single" w:color="000000" w:sz="4" w:space="0"/>
              <w:left w:val="single" w:color="000000" w:sz="4" w:space="0"/>
              <w:bottom w:val="single" w:color="auto" w:sz="4" w:space="0"/>
              <w:right w:val="single" w:color="000000" w:sz="4" w:space="0"/>
            </w:tcBorders>
            <w:shd w:val="clear" w:color="auto" w:fill="auto"/>
            <w:vAlign w:val="center"/>
          </w:tcPr>
          <w:p w14:paraId="481C1AB0">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000000" w:sz="4" w:space="0"/>
              <w:left w:val="single" w:color="000000" w:sz="4" w:space="0"/>
              <w:bottom w:val="single" w:color="auto" w:sz="4" w:space="0"/>
              <w:right w:val="single" w:color="000000" w:sz="4" w:space="0"/>
            </w:tcBorders>
            <w:shd w:val="clear" w:color="auto" w:fill="auto"/>
            <w:vAlign w:val="center"/>
          </w:tcPr>
          <w:p w14:paraId="25457A67">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000000" w:sz="4" w:space="0"/>
              <w:left w:val="single" w:color="000000" w:sz="4" w:space="0"/>
              <w:bottom w:val="single" w:color="auto" w:sz="4" w:space="0"/>
              <w:right w:val="single" w:color="000000" w:sz="4" w:space="0"/>
            </w:tcBorders>
            <w:shd w:val="clear" w:color="auto" w:fill="auto"/>
            <w:vAlign w:val="center"/>
          </w:tcPr>
          <w:p w14:paraId="0A7017E6">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z w:val="24"/>
                <w:szCs w:val="24"/>
                <w:u w:val="none"/>
                <w:lang w:val="en-US" w:eastAsia="zh-CN"/>
              </w:rPr>
              <w:t>0</w:t>
            </w:r>
          </w:p>
        </w:tc>
      </w:tr>
      <w:tr w14:paraId="01AAD479">
        <w:tblPrEx>
          <w:tblCellMar>
            <w:top w:w="0" w:type="dxa"/>
            <w:left w:w="108" w:type="dxa"/>
            <w:bottom w:w="0" w:type="dxa"/>
            <w:right w:w="108" w:type="dxa"/>
          </w:tblCellMar>
        </w:tblPrEx>
        <w:trPr>
          <w:trHeight w:val="463" w:hRule="atLeast"/>
        </w:trPr>
        <w:tc>
          <w:tcPr>
            <w:tcW w:w="107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3EC43B9E">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6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C75095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完成结果</w:t>
            </w:r>
          </w:p>
        </w:tc>
        <w:tc>
          <w:tcPr>
            <w:tcW w:w="1059" w:type="pct"/>
            <w:tcBorders>
              <w:top w:val="single" w:color="auto" w:sz="4" w:space="0"/>
              <w:left w:val="single" w:color="auto" w:sz="4" w:space="0"/>
              <w:bottom w:val="single" w:color="auto" w:sz="4" w:space="0"/>
              <w:right w:val="single" w:color="auto" w:sz="4" w:space="0"/>
            </w:tcBorders>
            <w:shd w:val="clear" w:color="auto" w:fill="auto"/>
            <w:vAlign w:val="center"/>
          </w:tcPr>
          <w:p w14:paraId="444CAD7A">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预算完成</w:t>
            </w:r>
          </w:p>
        </w:tc>
        <w:tc>
          <w:tcPr>
            <w:tcW w:w="539" w:type="pct"/>
            <w:tcBorders>
              <w:top w:val="single" w:color="auto" w:sz="4" w:space="0"/>
              <w:left w:val="single" w:color="auto" w:sz="4" w:space="0"/>
              <w:bottom w:val="single" w:color="auto" w:sz="4" w:space="0"/>
              <w:right w:val="single" w:color="auto" w:sz="4" w:space="0"/>
            </w:tcBorders>
            <w:shd w:val="clear" w:color="auto" w:fill="auto"/>
            <w:vAlign w:val="center"/>
          </w:tcPr>
          <w:p w14:paraId="68A2EF27">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6F206552">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9.67</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2904D9E4">
            <w:pPr>
              <w:pageBreakBefore w:val="0"/>
              <w:wordWrap/>
              <w:overflowPunct/>
              <w:topLinePunct w:val="0"/>
              <w:bidi w:val="0"/>
              <w:spacing w:line="560" w:lineRule="exact"/>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0.33</w:t>
            </w:r>
          </w:p>
        </w:tc>
      </w:tr>
      <w:tr w14:paraId="4C613F39">
        <w:tblPrEx>
          <w:tblCellMar>
            <w:top w:w="0" w:type="dxa"/>
            <w:left w:w="108" w:type="dxa"/>
            <w:bottom w:w="0" w:type="dxa"/>
            <w:right w:w="108" w:type="dxa"/>
          </w:tblCellMar>
        </w:tblPrEx>
        <w:trPr>
          <w:trHeight w:val="453" w:hRule="atLeast"/>
        </w:trPr>
        <w:tc>
          <w:tcPr>
            <w:tcW w:w="107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3F2FAA4B">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6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B8108C6">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59" w:type="pct"/>
            <w:tcBorders>
              <w:top w:val="single" w:color="auto" w:sz="4" w:space="0"/>
              <w:left w:val="single" w:color="auto" w:sz="4" w:space="0"/>
              <w:bottom w:val="single" w:color="auto" w:sz="4" w:space="0"/>
              <w:right w:val="single" w:color="auto" w:sz="4" w:space="0"/>
            </w:tcBorders>
            <w:shd w:val="clear" w:color="auto" w:fill="auto"/>
            <w:vAlign w:val="center"/>
          </w:tcPr>
          <w:p w14:paraId="0B3184F6">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违规记录</w:t>
            </w:r>
          </w:p>
        </w:tc>
        <w:tc>
          <w:tcPr>
            <w:tcW w:w="539" w:type="pct"/>
            <w:tcBorders>
              <w:top w:val="single" w:color="auto" w:sz="4" w:space="0"/>
              <w:left w:val="single" w:color="auto" w:sz="4" w:space="0"/>
              <w:bottom w:val="single" w:color="auto" w:sz="4" w:space="0"/>
              <w:right w:val="single" w:color="auto" w:sz="4" w:space="0"/>
            </w:tcBorders>
            <w:shd w:val="clear" w:color="auto" w:fill="auto"/>
            <w:vAlign w:val="center"/>
          </w:tcPr>
          <w:p w14:paraId="736A34C6">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2D50B39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21612CF7">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z w:val="24"/>
                <w:szCs w:val="24"/>
                <w:u w:val="none"/>
                <w:lang w:val="en-US" w:eastAsia="zh-CN"/>
              </w:rPr>
              <w:t>0</w:t>
            </w:r>
          </w:p>
        </w:tc>
      </w:tr>
      <w:tr w14:paraId="2FC36B26">
        <w:tblPrEx>
          <w:tblCellMar>
            <w:top w:w="0" w:type="dxa"/>
            <w:left w:w="108" w:type="dxa"/>
            <w:bottom w:w="0" w:type="dxa"/>
            <w:right w:w="108" w:type="dxa"/>
          </w:tblCellMar>
        </w:tblPrEx>
        <w:trPr>
          <w:trHeight w:val="444" w:hRule="atLeast"/>
        </w:trPr>
        <w:tc>
          <w:tcPr>
            <w:tcW w:w="1071" w:type="pct"/>
            <w:vMerge w:val="restart"/>
            <w:tcBorders>
              <w:top w:val="single" w:color="000000" w:sz="4" w:space="0"/>
              <w:left w:val="single" w:color="000000" w:sz="4" w:space="0"/>
              <w:bottom w:val="single" w:color="000000" w:sz="4" w:space="0"/>
              <w:right w:val="single" w:color="auto" w:sz="4" w:space="0"/>
            </w:tcBorders>
            <w:shd w:val="clear" w:color="auto" w:fill="auto"/>
            <w:vAlign w:val="center"/>
          </w:tcPr>
          <w:p w14:paraId="24AACDDB">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绩效结果应用</w:t>
            </w:r>
          </w:p>
        </w:tc>
        <w:tc>
          <w:tcPr>
            <w:tcW w:w="1063" w:type="pct"/>
            <w:tcBorders>
              <w:top w:val="single" w:color="auto" w:sz="4" w:space="0"/>
              <w:left w:val="single" w:color="auto" w:sz="4" w:space="0"/>
              <w:bottom w:val="single" w:color="auto" w:sz="4" w:space="0"/>
              <w:right w:val="single" w:color="auto" w:sz="4" w:space="0"/>
            </w:tcBorders>
            <w:shd w:val="clear" w:color="auto" w:fill="auto"/>
            <w:vAlign w:val="center"/>
          </w:tcPr>
          <w:p w14:paraId="4021E7F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信息公开</w:t>
            </w:r>
          </w:p>
        </w:tc>
        <w:tc>
          <w:tcPr>
            <w:tcW w:w="1059" w:type="pct"/>
            <w:tcBorders>
              <w:top w:val="single" w:color="auto" w:sz="4" w:space="0"/>
              <w:left w:val="single" w:color="auto" w:sz="4" w:space="0"/>
              <w:bottom w:val="single" w:color="auto" w:sz="4" w:space="0"/>
              <w:right w:val="single" w:color="auto" w:sz="4" w:space="0"/>
            </w:tcBorders>
            <w:shd w:val="clear" w:color="auto" w:fill="auto"/>
            <w:vAlign w:val="center"/>
          </w:tcPr>
          <w:p w14:paraId="3986695B">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自评公开</w:t>
            </w:r>
          </w:p>
        </w:tc>
        <w:tc>
          <w:tcPr>
            <w:tcW w:w="539" w:type="pct"/>
            <w:tcBorders>
              <w:top w:val="single" w:color="auto" w:sz="4" w:space="0"/>
              <w:left w:val="single" w:color="auto" w:sz="4" w:space="0"/>
              <w:bottom w:val="single" w:color="auto" w:sz="4" w:space="0"/>
              <w:right w:val="single" w:color="auto" w:sz="4" w:space="0"/>
            </w:tcBorders>
            <w:shd w:val="clear" w:color="auto" w:fill="auto"/>
            <w:vAlign w:val="center"/>
          </w:tcPr>
          <w:p w14:paraId="5FF6786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15DDAF5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04C823EF">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z w:val="24"/>
                <w:szCs w:val="24"/>
                <w:u w:val="none"/>
                <w:lang w:val="en-US" w:eastAsia="zh-CN"/>
              </w:rPr>
              <w:t>0</w:t>
            </w:r>
          </w:p>
        </w:tc>
      </w:tr>
      <w:tr w14:paraId="1FD192D5">
        <w:tblPrEx>
          <w:tblCellMar>
            <w:top w:w="0" w:type="dxa"/>
            <w:left w:w="108" w:type="dxa"/>
            <w:bottom w:w="0" w:type="dxa"/>
            <w:right w:w="108" w:type="dxa"/>
          </w:tblCellMar>
        </w:tblPrEx>
        <w:trPr>
          <w:trHeight w:val="451" w:hRule="atLeast"/>
        </w:trPr>
        <w:tc>
          <w:tcPr>
            <w:tcW w:w="107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0FFE4840">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6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EF775E1">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整改反馈</w:t>
            </w:r>
          </w:p>
        </w:tc>
        <w:tc>
          <w:tcPr>
            <w:tcW w:w="1059" w:type="pct"/>
            <w:tcBorders>
              <w:top w:val="single" w:color="auto" w:sz="4" w:space="0"/>
              <w:left w:val="single" w:color="auto" w:sz="4" w:space="0"/>
              <w:bottom w:val="single" w:color="auto" w:sz="4" w:space="0"/>
              <w:right w:val="single" w:color="auto" w:sz="4" w:space="0"/>
            </w:tcBorders>
            <w:shd w:val="clear" w:color="auto" w:fill="auto"/>
            <w:vAlign w:val="center"/>
          </w:tcPr>
          <w:p w14:paraId="1D1B6B0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结果整改</w:t>
            </w:r>
          </w:p>
        </w:tc>
        <w:tc>
          <w:tcPr>
            <w:tcW w:w="539" w:type="pct"/>
            <w:tcBorders>
              <w:top w:val="single" w:color="auto" w:sz="4" w:space="0"/>
              <w:left w:val="single" w:color="auto" w:sz="4" w:space="0"/>
              <w:bottom w:val="single" w:color="auto" w:sz="4" w:space="0"/>
              <w:right w:val="single" w:color="auto" w:sz="4" w:space="0"/>
            </w:tcBorders>
            <w:shd w:val="clear" w:color="auto" w:fill="auto"/>
            <w:vAlign w:val="center"/>
          </w:tcPr>
          <w:p w14:paraId="70FD6FD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33429EB5">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6966A0AA">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z w:val="24"/>
                <w:szCs w:val="24"/>
                <w:u w:val="none"/>
                <w:lang w:val="en-US" w:eastAsia="zh-CN"/>
              </w:rPr>
              <w:t>0</w:t>
            </w:r>
          </w:p>
        </w:tc>
      </w:tr>
      <w:tr w14:paraId="6486D57F">
        <w:tblPrEx>
          <w:tblCellMar>
            <w:top w:w="0" w:type="dxa"/>
            <w:left w:w="108" w:type="dxa"/>
            <w:bottom w:w="0" w:type="dxa"/>
            <w:right w:w="108" w:type="dxa"/>
          </w:tblCellMar>
        </w:tblPrEx>
        <w:trPr>
          <w:trHeight w:val="414" w:hRule="atLeast"/>
        </w:trPr>
        <w:tc>
          <w:tcPr>
            <w:tcW w:w="107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37C0CD65">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6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E5ABE1">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59" w:type="pct"/>
            <w:tcBorders>
              <w:top w:val="single" w:color="auto" w:sz="4" w:space="0"/>
              <w:left w:val="single" w:color="auto" w:sz="4" w:space="0"/>
              <w:bottom w:val="single" w:color="auto" w:sz="4" w:space="0"/>
              <w:right w:val="single" w:color="auto" w:sz="4" w:space="0"/>
            </w:tcBorders>
            <w:shd w:val="clear" w:color="auto" w:fill="auto"/>
            <w:vAlign w:val="center"/>
          </w:tcPr>
          <w:p w14:paraId="6F493E6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应用反馈</w:t>
            </w:r>
          </w:p>
        </w:tc>
        <w:tc>
          <w:tcPr>
            <w:tcW w:w="539" w:type="pct"/>
            <w:tcBorders>
              <w:top w:val="single" w:color="auto" w:sz="4" w:space="0"/>
              <w:left w:val="single" w:color="auto" w:sz="4" w:space="0"/>
              <w:bottom w:val="single" w:color="auto" w:sz="4" w:space="0"/>
              <w:right w:val="single" w:color="auto" w:sz="4" w:space="0"/>
            </w:tcBorders>
            <w:shd w:val="clear" w:color="auto" w:fill="auto"/>
            <w:vAlign w:val="center"/>
          </w:tcPr>
          <w:p w14:paraId="4979F0A0">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430C56D1">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5CBFC85E">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z w:val="24"/>
                <w:szCs w:val="24"/>
                <w:u w:val="none"/>
                <w:lang w:val="en-US" w:eastAsia="zh-CN"/>
              </w:rPr>
              <w:t>0</w:t>
            </w:r>
          </w:p>
        </w:tc>
      </w:tr>
      <w:tr w14:paraId="34730C5B">
        <w:tblPrEx>
          <w:tblCellMar>
            <w:top w:w="0" w:type="dxa"/>
            <w:left w:w="108" w:type="dxa"/>
            <w:bottom w:w="0" w:type="dxa"/>
            <w:right w:w="108" w:type="dxa"/>
          </w:tblCellMar>
        </w:tblPrEx>
        <w:trPr>
          <w:trHeight w:val="510" w:hRule="atLeast"/>
        </w:trPr>
        <w:tc>
          <w:tcPr>
            <w:tcW w:w="1071" w:type="pct"/>
            <w:tcBorders>
              <w:top w:val="single" w:color="000000" w:sz="4" w:space="0"/>
              <w:left w:val="single" w:color="000000" w:sz="4" w:space="0"/>
              <w:bottom w:val="single" w:color="000000" w:sz="4" w:space="0"/>
              <w:right w:val="single" w:color="auto" w:sz="4" w:space="0"/>
            </w:tcBorders>
            <w:shd w:val="clear" w:color="auto" w:fill="auto"/>
            <w:vAlign w:val="center"/>
          </w:tcPr>
          <w:p w14:paraId="3B7D334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自评质量</w:t>
            </w:r>
          </w:p>
        </w:tc>
        <w:tc>
          <w:tcPr>
            <w:tcW w:w="1063" w:type="pct"/>
            <w:tcBorders>
              <w:top w:val="single" w:color="auto" w:sz="4" w:space="0"/>
              <w:left w:val="single" w:color="auto" w:sz="4" w:space="0"/>
              <w:bottom w:val="single" w:color="auto" w:sz="4" w:space="0"/>
              <w:right w:val="single" w:color="auto" w:sz="4" w:space="0"/>
            </w:tcBorders>
            <w:shd w:val="clear" w:color="auto" w:fill="auto"/>
            <w:vAlign w:val="center"/>
          </w:tcPr>
          <w:p w14:paraId="076DB56E">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自评质量</w:t>
            </w:r>
          </w:p>
        </w:tc>
        <w:tc>
          <w:tcPr>
            <w:tcW w:w="1059" w:type="pct"/>
            <w:tcBorders>
              <w:top w:val="single" w:color="auto" w:sz="4" w:space="0"/>
              <w:left w:val="single" w:color="auto" w:sz="4" w:space="0"/>
              <w:bottom w:val="single" w:color="auto" w:sz="4" w:space="0"/>
              <w:right w:val="single" w:color="auto" w:sz="4" w:space="0"/>
            </w:tcBorders>
            <w:shd w:val="clear" w:color="auto" w:fill="auto"/>
            <w:vAlign w:val="center"/>
          </w:tcPr>
          <w:p w14:paraId="55FCEEFE">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自评准确</w:t>
            </w:r>
          </w:p>
        </w:tc>
        <w:tc>
          <w:tcPr>
            <w:tcW w:w="539" w:type="pct"/>
            <w:tcBorders>
              <w:top w:val="single" w:color="auto" w:sz="4" w:space="0"/>
              <w:left w:val="single" w:color="auto" w:sz="4" w:space="0"/>
              <w:bottom w:val="single" w:color="auto" w:sz="4" w:space="0"/>
              <w:right w:val="single" w:color="auto" w:sz="4" w:space="0"/>
            </w:tcBorders>
            <w:shd w:val="clear" w:color="auto" w:fill="auto"/>
            <w:vAlign w:val="center"/>
          </w:tcPr>
          <w:p w14:paraId="382AEE21">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4BFD4FF1">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114FFC0E">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0</w:t>
            </w:r>
          </w:p>
        </w:tc>
      </w:tr>
      <w:tr w14:paraId="3F6E0AEB">
        <w:tblPrEx>
          <w:tblCellMar>
            <w:top w:w="0" w:type="dxa"/>
            <w:left w:w="108" w:type="dxa"/>
            <w:bottom w:w="0" w:type="dxa"/>
            <w:right w:w="108" w:type="dxa"/>
          </w:tblCellMar>
        </w:tblPrEx>
        <w:trPr>
          <w:trHeight w:val="510" w:hRule="atLeast"/>
        </w:trPr>
        <w:tc>
          <w:tcPr>
            <w:tcW w:w="3193"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6BCE2C46">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合计</w:t>
            </w:r>
          </w:p>
        </w:tc>
        <w:tc>
          <w:tcPr>
            <w:tcW w:w="539" w:type="pct"/>
            <w:tcBorders>
              <w:top w:val="single" w:color="auto" w:sz="4" w:space="0"/>
              <w:left w:val="single" w:color="auto" w:sz="4" w:space="0"/>
              <w:bottom w:val="single" w:color="auto" w:sz="4" w:space="0"/>
              <w:right w:val="single" w:color="auto" w:sz="4" w:space="0"/>
            </w:tcBorders>
            <w:shd w:val="clear" w:color="auto" w:fill="auto"/>
            <w:vAlign w:val="center"/>
          </w:tcPr>
          <w:p w14:paraId="34024931">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100</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448490BC">
            <w:pPr>
              <w:pageBreakBefore w:val="0"/>
              <w:wordWrap/>
              <w:overflowPunct/>
              <w:topLinePunct w:val="0"/>
              <w:bidi w:val="0"/>
              <w:spacing w:line="560" w:lineRule="exact"/>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77.67</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6C6BB62D">
            <w:pPr>
              <w:pageBreakBefore w:val="0"/>
              <w:wordWrap/>
              <w:overflowPunct/>
              <w:topLinePunct w:val="0"/>
              <w:bidi w:val="0"/>
              <w:spacing w:line="560" w:lineRule="exact"/>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22.33</w:t>
            </w:r>
          </w:p>
        </w:tc>
      </w:tr>
    </w:tbl>
    <w:p w14:paraId="461DB55D">
      <w:pPr>
        <w:pStyle w:val="5"/>
        <w:pageBreakBefore w:val="0"/>
        <w:numPr>
          <w:ilvl w:val="1"/>
          <w:numId w:val="0"/>
        </w:numPr>
        <w:kinsoku/>
        <w:wordWrap/>
        <w:overflowPunct/>
        <w:topLinePunct w:val="0"/>
        <w:autoSpaceDE/>
        <w:autoSpaceDN/>
        <w:bidi w:val="0"/>
        <w:spacing w:line="560" w:lineRule="exact"/>
        <w:ind w:leftChars="0" w:firstLine="643" w:firstLineChars="200"/>
        <w:rPr>
          <w:rFonts w:hint="eastAsia"/>
          <w:b/>
          <w:bCs/>
          <w:color w:val="auto"/>
          <w:szCs w:val="32"/>
          <w:lang w:val="en-US" w:eastAsia="zh-CN"/>
        </w:rPr>
      </w:pPr>
      <w:bookmarkStart w:id="502" w:name="_Toc166"/>
      <w:r>
        <w:rPr>
          <w:rFonts w:hint="eastAsia"/>
          <w:b/>
          <w:bCs/>
          <w:color w:val="auto"/>
          <w:szCs w:val="32"/>
          <w:lang w:val="en-US" w:eastAsia="zh-CN"/>
        </w:rPr>
        <w:t>（二）基本运行绩效分析</w:t>
      </w:r>
      <w:bookmarkEnd w:id="502"/>
    </w:p>
    <w:p w14:paraId="25079A95">
      <w:pPr>
        <w:pStyle w:val="4"/>
        <w:pageBreakBefore w:val="0"/>
        <w:widowControl w:val="0"/>
        <w:numPr>
          <w:ilvl w:val="-1"/>
          <w:numId w:val="0"/>
        </w:numPr>
        <w:kinsoku/>
        <w:wordWrap/>
        <w:overflowPunct/>
        <w:topLinePunct w:val="0"/>
        <w:autoSpaceDE/>
        <w:autoSpaceDN/>
        <w:bidi w:val="0"/>
        <w:spacing w:line="560" w:lineRule="exact"/>
        <w:ind w:left="0" w:leftChars="0" w:firstLine="643" w:firstLineChars="200"/>
        <w:textAlignment w:val="auto"/>
        <w:outlineLvl w:val="2"/>
        <w:rPr>
          <w:rFonts w:hint="eastAsia"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1.部门预算编制</w:t>
      </w:r>
    </w:p>
    <w:p w14:paraId="432B2B84">
      <w:pPr>
        <w:pStyle w:val="4"/>
        <w:pageBreakBefore w:val="0"/>
        <w:widowControl w:val="0"/>
        <w:numPr>
          <w:ilvl w:val="-1"/>
          <w:numId w:val="0"/>
        </w:numPr>
        <w:kinsoku/>
        <w:wordWrap/>
        <w:overflowPunct/>
        <w:topLinePunct w:val="0"/>
        <w:autoSpaceDE/>
        <w:autoSpaceDN/>
        <w:bidi w:val="0"/>
        <w:spacing w:line="560" w:lineRule="exact"/>
        <w:ind w:left="0" w:leftChars="0" w:firstLine="643" w:firstLineChars="200"/>
        <w:textAlignment w:val="auto"/>
        <w:outlineLvl w:val="2"/>
        <w:rPr>
          <w:rFonts w:hint="default"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（1）预算编制</w:t>
      </w:r>
    </w:p>
    <w:p w14:paraId="5AA7FD5C">
      <w:pPr>
        <w:pStyle w:val="4"/>
        <w:pageBreakBefore w:val="0"/>
        <w:widowControl w:val="0"/>
        <w:numPr>
          <w:ilvl w:val="0"/>
          <w:numId w:val="0"/>
        </w:numPr>
        <w:kinsoku/>
        <w:wordWrap/>
        <w:overflowPunct/>
        <w:topLinePunct w:val="0"/>
        <w:autoSpaceDE/>
        <w:autoSpaceDN/>
        <w:bidi w:val="0"/>
        <w:spacing w:line="560" w:lineRule="exact"/>
        <w:ind w:firstLine="643" w:firstLineChars="200"/>
        <w:textAlignment w:val="auto"/>
        <w:outlineLvl w:val="9"/>
        <w:rPr>
          <w:rFonts w:hint="default"/>
          <w:color w:val="auto"/>
          <w:lang w:val="en-US" w:eastAsia="zh-CN"/>
        </w:rPr>
      </w:pPr>
      <w:r>
        <w:rPr>
          <w:rFonts w:hint="eastAsia"/>
          <w:b/>
          <w:bCs/>
          <w:color w:val="auto"/>
          <w:szCs w:val="32"/>
          <w:lang w:val="en-US" w:eastAsia="zh-CN"/>
        </w:rPr>
        <w:t>①目标制定</w:t>
      </w:r>
    </w:p>
    <w:p w14:paraId="153365F4">
      <w:pPr>
        <w:pStyle w:val="4"/>
        <w:pageBreakBefore w:val="0"/>
        <w:wordWrap/>
        <w:overflowPunct/>
        <w:topLinePunct w:val="0"/>
        <w:bidi w:val="0"/>
        <w:spacing w:line="560" w:lineRule="exact"/>
        <w:rPr>
          <w:rFonts w:hint="eastAsia"/>
          <w:color w:val="000000" w:themeColor="text1"/>
          <w:highlight w:val="none"/>
          <w:lang w:val="en-US"/>
          <w14:textFill>
            <w14:solidFill>
              <w14:schemeClr w14:val="tx1"/>
            </w14:solidFill>
          </w14:textFill>
        </w:rPr>
      </w:pPr>
      <w:r>
        <w:rPr>
          <w:rFonts w:hint="eastAsia"/>
          <w:highlight w:val="none"/>
          <w:lang w:val="en-US" w:eastAsia="zh-CN"/>
        </w:rPr>
        <w:t>紫竹路小学</w:t>
      </w:r>
      <w:r>
        <w:rPr>
          <w:rFonts w:hint="eastAsia"/>
          <w:highlight w:val="none"/>
        </w:rPr>
        <w:t>整体绩效目标年度主要任务包括</w:t>
      </w:r>
      <w:r>
        <w:rPr>
          <w:rFonts w:hint="eastAsia"/>
          <w:color w:val="000000" w:themeColor="text1"/>
          <w:highlight w:val="none"/>
          <w:lang w:eastAsia="zh-CN"/>
          <w14:textFill>
            <w14:solidFill>
              <w14:schemeClr w14:val="tx1"/>
            </w14:solidFill>
          </w14:textFill>
        </w:rPr>
        <w:t>工资福利支出</w:t>
      </w:r>
      <w:r>
        <w:rPr>
          <w:rFonts w:hint="eastAsia"/>
          <w:color w:val="000000" w:themeColor="text1"/>
          <w:highlight w:val="none"/>
          <w14:textFill>
            <w14:solidFill>
              <w14:schemeClr w14:val="tx1"/>
            </w14:solidFill>
          </w14:textFill>
        </w:rPr>
        <w:t>、公用经费</w:t>
      </w:r>
      <w:r>
        <w:rPr>
          <w:rFonts w:hint="eastAsia"/>
          <w:color w:val="000000" w:themeColor="text1"/>
          <w:highlight w:val="none"/>
          <w:lang w:val="en-US" w:eastAsia="zh-CN"/>
          <w14:textFill>
            <w14:solidFill>
              <w14:schemeClr w14:val="tx1"/>
            </w14:solidFill>
          </w14:textFill>
        </w:rPr>
        <w:t>及</w:t>
      </w:r>
      <w:r>
        <w:rPr>
          <w:rFonts w:hint="eastAsia"/>
          <w:color w:val="000000" w:themeColor="text1"/>
          <w:highlight w:val="none"/>
          <w14:textFill>
            <w14:solidFill>
              <w14:schemeClr w14:val="tx1"/>
            </w14:solidFill>
          </w14:textFill>
        </w:rPr>
        <w:t>伙食补助费</w:t>
      </w:r>
      <w:r>
        <w:rPr>
          <w:rFonts w:hint="eastAsia"/>
          <w:highlight w:val="none"/>
          <w:lang w:val="en-US" w:eastAsia="zh-CN"/>
        </w:rPr>
        <w:t>3</w:t>
      </w:r>
      <w:r>
        <w:rPr>
          <w:rFonts w:hint="eastAsia"/>
          <w:highlight w:val="none"/>
          <w:lang w:val="en-US"/>
        </w:rPr>
        <w:t>项</w:t>
      </w:r>
      <w:r>
        <w:rPr>
          <w:rFonts w:hint="eastAsia"/>
          <w:highlight w:val="none"/>
        </w:rPr>
        <w:t>主要任务</w:t>
      </w:r>
      <w:r>
        <w:rPr>
          <w:rFonts w:hint="eastAsia"/>
          <w:highlight w:val="none"/>
          <w:lang w:eastAsia="zh-CN"/>
        </w:rPr>
        <w:t>，</w:t>
      </w:r>
      <w:r>
        <w:rPr>
          <w:rFonts w:hint="eastAsia"/>
          <w:highlight w:val="none"/>
          <w:lang w:val="en-US" w:eastAsia="zh-CN"/>
        </w:rPr>
        <w:t>整体</w:t>
      </w:r>
      <w:r>
        <w:rPr>
          <w:rFonts w:hint="eastAsia"/>
          <w:color w:val="000000" w:themeColor="text1"/>
          <w:highlight w:val="none"/>
          <w:lang w:val="en-US"/>
          <w14:textFill>
            <w14:solidFill>
              <w14:schemeClr w14:val="tx1"/>
            </w14:solidFill>
          </w14:textFill>
        </w:rPr>
        <w:t>绩效目标编制含数量、质量、成本、时效、效益、满意度等指标，要素完整，指标设置符合规范要求</w:t>
      </w:r>
      <w:r>
        <w:rPr>
          <w:rFonts w:hint="eastAsia"/>
          <w:color w:val="000000" w:themeColor="text1"/>
          <w:highlight w:val="none"/>
          <w:lang w:val="en-US" w:eastAsia="zh-CN"/>
          <w14:textFill>
            <w14:solidFill>
              <w14:schemeClr w14:val="tx1"/>
            </w14:solidFill>
          </w14:textFill>
        </w:rPr>
        <w:t>，</w:t>
      </w:r>
      <w:r>
        <w:rPr>
          <w:rFonts w:hint="eastAsia"/>
          <w:color w:val="000000" w:themeColor="text1"/>
          <w:highlight w:val="none"/>
          <w:lang w:val="en-US"/>
          <w14:textFill>
            <w14:solidFill>
              <w14:schemeClr w14:val="tx1"/>
            </w14:solidFill>
          </w14:textFill>
        </w:rPr>
        <w:t>但</w:t>
      </w:r>
      <w:r>
        <w:rPr>
          <w:rFonts w:hint="eastAsia"/>
          <w:color w:val="000000" w:themeColor="text1"/>
          <w:highlight w:val="none"/>
          <w:lang w:val="en-US" w:eastAsia="zh-CN"/>
          <w14:textFill>
            <w14:solidFill>
              <w14:schemeClr w14:val="tx1"/>
            </w14:solidFill>
          </w14:textFill>
        </w:rPr>
        <w:t>有部分数量</w:t>
      </w:r>
      <w:r>
        <w:rPr>
          <w:rFonts w:hint="eastAsia"/>
          <w:color w:val="000000" w:themeColor="text1"/>
          <w:highlight w:val="none"/>
          <w:lang w:val="en-US"/>
          <w14:textFill>
            <w14:solidFill>
              <w14:schemeClr w14:val="tx1"/>
            </w14:solidFill>
          </w14:textFill>
        </w:rPr>
        <w:t>指标未达量化标准。如：</w:t>
      </w:r>
      <w:r>
        <w:rPr>
          <w:rFonts w:hint="eastAsia" w:ascii="Times New Roman" w:hAnsi="Times New Roman" w:cs="Times New Roman"/>
          <w:color w:val="auto"/>
          <w:lang w:val="en-US" w:eastAsia="zh-CN"/>
        </w:rPr>
        <w:t>二级指标中数量指标</w:t>
      </w:r>
      <w:r>
        <w:rPr>
          <w:rFonts w:hint="eastAsia"/>
          <w:color w:val="000000" w:themeColor="text1"/>
          <w:highlight w:val="none"/>
          <w:lang w:val="en-US"/>
          <w14:textFill>
            <w14:solidFill>
              <w14:schemeClr w14:val="tx1"/>
            </w14:solidFill>
          </w14:textFill>
        </w:rPr>
        <w:t>“学校办公文具、器材购置 ”的指标值为“教职工办公、学生器材”，无明确具体</w:t>
      </w:r>
      <w:r>
        <w:rPr>
          <w:rFonts w:hint="eastAsia"/>
          <w:color w:val="000000" w:themeColor="text1"/>
          <w:highlight w:val="none"/>
          <w:lang w:val="en-US" w:eastAsia="zh-CN"/>
          <w14:textFill>
            <w14:solidFill>
              <w14:schemeClr w14:val="tx1"/>
            </w14:solidFill>
          </w14:textFill>
        </w:rPr>
        <w:t>数量</w:t>
      </w:r>
      <w:r>
        <w:rPr>
          <w:rFonts w:hint="eastAsia"/>
          <w:color w:val="000000" w:themeColor="text1"/>
          <w:highlight w:val="none"/>
          <w:lang w:val="en-US"/>
          <w14:textFill>
            <w14:solidFill>
              <w14:schemeClr w14:val="tx1"/>
            </w14:solidFill>
          </w14:textFill>
        </w:rPr>
        <w:t>，指标值未量化，不可衡量。</w:t>
      </w:r>
    </w:p>
    <w:p w14:paraId="784DA8D7">
      <w:pPr>
        <w:pStyle w:val="4"/>
        <w:pageBreakBefore w:val="0"/>
        <w:wordWrap/>
        <w:overflowPunct/>
        <w:topLinePunct w:val="0"/>
        <w:bidi w:val="0"/>
        <w:spacing w:line="560" w:lineRule="exact"/>
        <w:rPr>
          <w:rFonts w:hint="eastAsia"/>
          <w:color w:val="000000" w:themeColor="text1"/>
          <w:highlight w:val="none"/>
          <w:lang w:val="en-US"/>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综合上述分析，此项指标分值10分，实际得分8分，扣分2分。</w:t>
      </w:r>
    </w:p>
    <w:p w14:paraId="2CEF8AF3">
      <w:pPr>
        <w:pStyle w:val="4"/>
        <w:pageBreakBefore w:val="0"/>
        <w:widowControl w:val="0"/>
        <w:numPr>
          <w:ilvl w:val="0"/>
          <w:numId w:val="0"/>
        </w:numPr>
        <w:kinsoku/>
        <w:wordWrap/>
        <w:overflowPunct/>
        <w:topLinePunct w:val="0"/>
        <w:autoSpaceDE/>
        <w:autoSpaceDN/>
        <w:bidi w:val="0"/>
        <w:spacing w:line="560" w:lineRule="exact"/>
        <w:ind w:firstLine="643" w:firstLineChars="200"/>
        <w:textAlignment w:val="auto"/>
        <w:outlineLvl w:val="9"/>
        <w:rPr>
          <w:rFonts w:hint="default"/>
          <w:color w:val="auto"/>
          <w:lang w:val="en-US" w:eastAsia="zh-CN"/>
        </w:rPr>
      </w:pPr>
      <w:r>
        <w:rPr>
          <w:rFonts w:hint="eastAsia"/>
          <w:b/>
          <w:bCs/>
          <w:color w:val="auto"/>
          <w:szCs w:val="32"/>
          <w:lang w:val="en-US" w:eastAsia="zh-CN"/>
        </w:rPr>
        <w:t>②目标实现</w:t>
      </w:r>
    </w:p>
    <w:p w14:paraId="5815294B">
      <w:pPr>
        <w:pStyle w:val="4"/>
        <w:pageBreakBefore w:val="0"/>
        <w:wordWrap/>
        <w:overflowPunct/>
        <w:topLinePunct w:val="0"/>
        <w:bidi w:val="0"/>
        <w:spacing w:line="560" w:lineRule="exact"/>
        <w:rPr>
          <w:rFonts w:hint="eastAsia"/>
          <w:color w:val="000000" w:themeColor="text1"/>
          <w:highlight w:val="none"/>
          <w:lang w:val="en-US"/>
          <w14:textFill>
            <w14:solidFill>
              <w14:schemeClr w14:val="tx1"/>
            </w14:solidFill>
          </w14:textFill>
        </w:rPr>
      </w:pPr>
      <w:r>
        <w:rPr>
          <w:rFonts w:hint="eastAsia"/>
          <w:color w:val="000000" w:themeColor="text1"/>
          <w:highlight w:val="none"/>
          <w:lang w:val="en-US"/>
          <w14:textFill>
            <w14:solidFill>
              <w14:schemeClr w14:val="tx1"/>
            </w14:solidFill>
          </w14:textFill>
        </w:rPr>
        <w:t>评价组核查了</w:t>
      </w:r>
      <w:r>
        <w:rPr>
          <w:rFonts w:hint="eastAsia"/>
          <w:color w:val="000000" w:themeColor="text1"/>
          <w:highlight w:val="none"/>
          <w:lang w:eastAsia="zh-CN"/>
          <w14:textFill>
            <w14:solidFill>
              <w14:schemeClr w14:val="tx1"/>
            </w14:solidFill>
          </w14:textFill>
        </w:rPr>
        <w:t>工资福利支出</w:t>
      </w:r>
      <w:r>
        <w:rPr>
          <w:rFonts w:hint="eastAsia"/>
          <w:color w:val="000000" w:themeColor="text1"/>
          <w:highlight w:val="none"/>
          <w14:textFill>
            <w14:solidFill>
              <w14:schemeClr w14:val="tx1"/>
            </w14:solidFill>
          </w14:textFill>
        </w:rPr>
        <w:t>、公用经费</w:t>
      </w:r>
      <w:r>
        <w:rPr>
          <w:rFonts w:hint="eastAsia"/>
          <w:color w:val="000000" w:themeColor="text1"/>
          <w:highlight w:val="none"/>
          <w:lang w:val="en-US" w:eastAsia="zh-CN"/>
          <w14:textFill>
            <w14:solidFill>
              <w14:schemeClr w14:val="tx1"/>
            </w14:solidFill>
          </w14:textFill>
        </w:rPr>
        <w:t>及</w:t>
      </w:r>
      <w:r>
        <w:rPr>
          <w:rFonts w:hint="eastAsia"/>
          <w:color w:val="000000" w:themeColor="text1"/>
          <w:highlight w:val="none"/>
          <w14:textFill>
            <w14:solidFill>
              <w14:schemeClr w14:val="tx1"/>
            </w14:solidFill>
          </w14:textFill>
        </w:rPr>
        <w:t>伙食补助费</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lang w:val="en-US"/>
          <w14:textFill>
            <w14:solidFill>
              <w14:schemeClr w14:val="tx1"/>
            </w14:solidFill>
          </w14:textFill>
        </w:rPr>
        <w:t>个项目共</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val="en-US"/>
          <w14:textFill>
            <w14:solidFill>
              <w14:schemeClr w14:val="tx1"/>
            </w14:solidFill>
          </w14:textFill>
        </w:rPr>
        <w:t>个数量指标的完成情况，</w:t>
      </w:r>
      <w:r>
        <w:rPr>
          <w:rFonts w:hint="eastAsia"/>
          <w:color w:val="000000" w:themeColor="text1"/>
          <w:highlight w:val="none"/>
          <w:lang w:val="en-US" w:eastAsia="zh-CN"/>
          <w14:textFill>
            <w14:solidFill>
              <w14:schemeClr w14:val="tx1"/>
            </w14:solidFill>
          </w14:textFill>
        </w:rPr>
        <w:t>完成了95人的教职工工资福利发放、47人培训、购买教职工办公、学生器材和购买教室标识及文化等，4</w:t>
      </w:r>
      <w:r>
        <w:rPr>
          <w:rFonts w:hint="eastAsia"/>
          <w:color w:val="000000" w:themeColor="text1"/>
          <w:highlight w:val="none"/>
          <w:lang w:val="en-US"/>
          <w14:textFill>
            <w14:solidFill>
              <w14:schemeClr w14:val="tx1"/>
            </w14:solidFill>
          </w14:textFill>
        </w:rPr>
        <w:t>个数量指标实际完成数量情况达到预期目标。</w:t>
      </w:r>
    </w:p>
    <w:p w14:paraId="125083EC">
      <w:pPr>
        <w:pStyle w:val="4"/>
        <w:pageBreakBefore w:val="0"/>
        <w:wordWrap/>
        <w:overflowPunct/>
        <w:topLinePunct w:val="0"/>
        <w:bidi w:val="0"/>
        <w:spacing w:line="560" w:lineRule="exact"/>
        <w:rPr>
          <w:rFonts w:hint="eastAsia"/>
          <w:color w:val="000000" w:themeColor="text1"/>
          <w:highlight w:val="yellow"/>
          <w:lang w:val="en-US"/>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综合上述分析，此项指标分值10分，实际得分10分。</w:t>
      </w:r>
    </w:p>
    <w:p w14:paraId="148EF432">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b/>
          <w:bCs/>
          <w:color w:val="auto"/>
          <w:szCs w:val="32"/>
          <w:lang w:val="en-US" w:eastAsia="zh-CN"/>
        </w:rPr>
      </w:pPr>
      <w:r>
        <w:rPr>
          <w:rFonts w:hint="eastAsia"/>
          <w:b/>
          <w:bCs/>
          <w:color w:val="auto"/>
          <w:szCs w:val="32"/>
          <w:lang w:val="en-US" w:eastAsia="zh-CN"/>
        </w:rPr>
        <w:t>③编制准确</w:t>
      </w:r>
    </w:p>
    <w:p w14:paraId="45B6EB2C">
      <w:pPr>
        <w:pStyle w:val="4"/>
        <w:pageBreakBefore w:val="0"/>
        <w:wordWrap/>
        <w:overflowPunct/>
        <w:topLinePunct w:val="0"/>
        <w:bidi w:val="0"/>
        <w:spacing w:line="560" w:lineRule="exact"/>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14:textFill>
            <w14:solidFill>
              <w14:schemeClr w14:val="tx1"/>
            </w14:solidFill>
          </w14:textFill>
        </w:rPr>
        <w:t>根据</w:t>
      </w:r>
      <w:r>
        <w:rPr>
          <w:rFonts w:hint="eastAsia"/>
          <w:color w:val="000000" w:themeColor="text1"/>
          <w:highlight w:val="none"/>
          <w:lang w:val="en-US" w:eastAsia="zh-CN"/>
          <w14:textFill>
            <w14:solidFill>
              <w14:schemeClr w14:val="tx1"/>
            </w14:solidFill>
          </w14:textFill>
        </w:rPr>
        <w:t>紫竹路小学</w:t>
      </w:r>
      <w:r>
        <w:rPr>
          <w:rFonts w:hint="eastAsia"/>
          <w:color w:val="000000" w:themeColor="text1"/>
          <w:highlight w:val="none"/>
          <w:lang w:val="en-US"/>
          <w14:textFill>
            <w14:solidFill>
              <w14:schemeClr w14:val="tx1"/>
            </w14:solidFill>
          </w14:textFill>
        </w:rPr>
        <w:t>202</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lang w:val="en-US"/>
          <w14:textFill>
            <w14:solidFill>
              <w14:schemeClr w14:val="tx1"/>
            </w14:solidFill>
          </w14:textFill>
        </w:rPr>
        <w:t>年预算、决算表</w:t>
      </w:r>
      <w:r>
        <w:rPr>
          <w:rFonts w:hint="eastAsia"/>
          <w:color w:val="000000" w:themeColor="text1"/>
          <w:highlight w:val="none"/>
          <w:lang w:val="en-US" w:eastAsia="zh-CN"/>
          <w14:textFill>
            <w14:solidFill>
              <w14:schemeClr w14:val="tx1"/>
            </w14:solidFill>
          </w14:textFill>
        </w:rPr>
        <w:t>及结算表</w:t>
      </w:r>
      <w:r>
        <w:rPr>
          <w:rFonts w:hint="eastAsia"/>
          <w:color w:val="000000" w:themeColor="text1"/>
          <w:highlight w:val="none"/>
          <w:lang w:val="en-US"/>
          <w14:textFill>
            <w14:solidFill>
              <w14:schemeClr w14:val="tx1"/>
            </w14:solidFill>
          </w14:textFill>
        </w:rPr>
        <w:t>，单位202</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lang w:val="en-US"/>
          <w14:textFill>
            <w14:solidFill>
              <w14:schemeClr w14:val="tx1"/>
            </w14:solidFill>
          </w14:textFill>
        </w:rPr>
        <w:t>年预算数为705.65万元，</w:t>
      </w:r>
      <w:r>
        <w:rPr>
          <w:rFonts w:hint="eastAsia"/>
          <w:color w:val="000000" w:themeColor="text1"/>
          <w:highlight w:val="none"/>
          <w:lang w:val="en-US" w:eastAsia="zh-CN"/>
          <w14:textFill>
            <w14:solidFill>
              <w14:schemeClr w14:val="tx1"/>
            </w14:solidFill>
          </w14:textFill>
        </w:rPr>
        <w:t>调整预算为1,016.6万元，</w:t>
      </w:r>
      <w:r>
        <w:rPr>
          <w:rFonts w:hint="eastAsia"/>
          <w:color w:val="000000" w:themeColor="text1"/>
          <w:highlight w:val="none"/>
          <w:lang w:val="en-US"/>
          <w14:textFill>
            <w14:solidFill>
              <w14:schemeClr w14:val="tx1"/>
            </w14:solidFill>
          </w14:textFill>
        </w:rPr>
        <w:t>支出决算数为</w:t>
      </w:r>
      <w:r>
        <w:rPr>
          <w:rFonts w:hint="eastAsia"/>
          <w:color w:val="000000" w:themeColor="text1"/>
          <w:highlight w:val="none"/>
          <w:lang w:val="en-US" w:eastAsia="zh-CN"/>
          <w14:textFill>
            <w14:solidFill>
              <w14:schemeClr w14:val="tx1"/>
            </w14:solidFill>
          </w14:textFill>
        </w:rPr>
        <w:t>984</w:t>
      </w:r>
      <w:r>
        <w:rPr>
          <w:rFonts w:hint="eastAsia"/>
          <w:color w:val="000000" w:themeColor="text1"/>
          <w:highlight w:val="none"/>
          <w:lang w:val="en-US"/>
          <w14:textFill>
            <w14:solidFill>
              <w14:schemeClr w14:val="tx1"/>
            </w14:solidFill>
          </w14:textFill>
        </w:rPr>
        <w:t>万元</w:t>
      </w:r>
      <w:r>
        <w:rPr>
          <w:rFonts w:hint="eastAsia"/>
          <w:color w:val="000000" w:themeColor="text1"/>
          <w:highlight w:val="none"/>
          <w:lang w:val="en-US" w:eastAsia="zh-CN"/>
          <w14:textFill>
            <w14:solidFill>
              <w14:schemeClr w14:val="tx1"/>
            </w14:solidFill>
          </w14:textFill>
        </w:rPr>
        <w:t>。</w:t>
      </w:r>
    </w:p>
    <w:p w14:paraId="2D521B4D">
      <w:pPr>
        <w:pStyle w:val="4"/>
        <w:pageBreakBefore w:val="0"/>
        <w:wordWrap/>
        <w:overflowPunct/>
        <w:topLinePunct w:val="0"/>
        <w:bidi w:val="0"/>
        <w:spacing w:line="560" w:lineRule="exact"/>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根据评分公式，部门全年预算调剂金额/年初部门预算数=0.44&gt;0.1</w:t>
      </w:r>
    </w:p>
    <w:p w14:paraId="4AAA6A21">
      <w:pPr>
        <w:pStyle w:val="4"/>
        <w:pageBreakBefore w:val="0"/>
        <w:wordWrap/>
        <w:overflowPunct/>
        <w:topLinePunct w:val="0"/>
        <w:bidi w:val="0"/>
        <w:spacing w:line="560" w:lineRule="exact"/>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综合上述分析，此项指标分值10分，实际得分0分，扣分10分。</w:t>
      </w:r>
    </w:p>
    <w:p w14:paraId="0389AE24">
      <w:pPr>
        <w:pStyle w:val="4"/>
        <w:pageBreakBefore w:val="0"/>
        <w:widowControl w:val="0"/>
        <w:numPr>
          <w:ilvl w:val="0"/>
          <w:numId w:val="3"/>
        </w:numPr>
        <w:kinsoku/>
        <w:wordWrap/>
        <w:overflowPunct/>
        <w:topLinePunct w:val="0"/>
        <w:autoSpaceDE/>
        <w:autoSpaceDN/>
        <w:bidi w:val="0"/>
        <w:spacing w:line="560" w:lineRule="exact"/>
        <w:ind w:left="0" w:leftChars="0" w:firstLine="643" w:firstLineChars="200"/>
        <w:textAlignment w:val="auto"/>
        <w:outlineLvl w:val="2"/>
        <w:rPr>
          <w:rFonts w:hint="eastAsia"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预算执行</w:t>
      </w:r>
    </w:p>
    <w:p w14:paraId="77E5EE59">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①支出控制</w:t>
      </w:r>
    </w:p>
    <w:p w14:paraId="4D13FAE6">
      <w:pPr>
        <w:pStyle w:val="4"/>
        <w:pageBreakBefore w:val="0"/>
        <w:wordWrap/>
        <w:overflowPunct/>
        <w:topLinePunct w:val="0"/>
        <w:bidi w:val="0"/>
        <w:spacing w:line="560" w:lineRule="exact"/>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14:textFill>
            <w14:solidFill>
              <w14:schemeClr w14:val="tx1"/>
            </w14:solidFill>
          </w14:textFill>
        </w:rPr>
        <w:t>日常公用经费及项目支出中“办公费、印刷费、水费、电费、物业管理费”等科目年初预算数为</w:t>
      </w:r>
      <w:r>
        <w:rPr>
          <w:rFonts w:hint="eastAsia"/>
          <w:color w:val="000000" w:themeColor="text1"/>
          <w:highlight w:val="none"/>
          <w:lang w:val="en-US" w:eastAsia="zh-CN"/>
          <w14:textFill>
            <w14:solidFill>
              <w14:schemeClr w14:val="tx1"/>
            </w14:solidFill>
          </w14:textFill>
        </w:rPr>
        <w:t>42.95</w:t>
      </w:r>
      <w:r>
        <w:rPr>
          <w:rFonts w:hint="eastAsia"/>
          <w:color w:val="000000" w:themeColor="text1"/>
          <w:highlight w:val="none"/>
          <w:lang w:val="en-US"/>
          <w14:textFill>
            <w14:solidFill>
              <w14:schemeClr w14:val="tx1"/>
            </w14:solidFill>
          </w14:textFill>
        </w:rPr>
        <w:t>万元，决算数为</w:t>
      </w:r>
      <w:r>
        <w:rPr>
          <w:rFonts w:hint="eastAsia"/>
          <w:color w:val="000000" w:themeColor="text1"/>
          <w:highlight w:val="none"/>
          <w:lang w:val="en-US" w:eastAsia="zh-CN"/>
          <w14:textFill>
            <w14:solidFill>
              <w14:schemeClr w14:val="tx1"/>
            </w14:solidFill>
          </w14:textFill>
        </w:rPr>
        <w:t>149.01</w:t>
      </w:r>
      <w:r>
        <w:rPr>
          <w:rFonts w:hint="eastAsia"/>
          <w:color w:val="000000" w:themeColor="text1"/>
          <w:highlight w:val="none"/>
          <w:lang w:val="en-US"/>
          <w14:textFill>
            <w14:solidFill>
              <w14:schemeClr w14:val="tx1"/>
            </w14:solidFill>
          </w14:textFill>
        </w:rPr>
        <w:t>万元，预决算偏差程度为</w:t>
      </w:r>
      <w:r>
        <w:rPr>
          <w:rFonts w:hint="eastAsia"/>
          <w:color w:val="000000" w:themeColor="text1"/>
          <w:highlight w:val="none"/>
          <w:lang w:val="en-US" w:eastAsia="zh-CN"/>
          <w14:textFill>
            <w14:solidFill>
              <w14:schemeClr w14:val="tx1"/>
            </w14:solidFill>
          </w14:textFill>
        </w:rPr>
        <w:t>247</w:t>
      </w:r>
      <w:r>
        <w:rPr>
          <w:rFonts w:hint="eastAsia"/>
          <w:color w:val="000000" w:themeColor="text1"/>
          <w:highlight w:val="none"/>
          <w:lang w:val="en-US"/>
          <w14:textFill>
            <w14:solidFill>
              <w14:schemeClr w14:val="tx1"/>
            </w14:solidFill>
          </w14:textFill>
        </w:rPr>
        <w:t>%，偏差程度</w:t>
      </w:r>
      <w:r>
        <w:rPr>
          <w:rFonts w:hint="eastAsia"/>
          <w:color w:val="000000" w:themeColor="text1"/>
          <w:highlight w:val="none"/>
          <w:lang w:val="en-US" w:eastAsia="zh-CN"/>
          <w14:textFill>
            <w14:solidFill>
              <w14:schemeClr w14:val="tx1"/>
            </w14:solidFill>
          </w14:textFill>
        </w:rPr>
        <w:t>超过20%，编制不准确。</w:t>
      </w:r>
    </w:p>
    <w:p w14:paraId="51CCE2BF">
      <w:pPr>
        <w:pStyle w:val="4"/>
        <w:pageBreakBefore w:val="0"/>
        <w:wordWrap/>
        <w:overflowPunct/>
        <w:topLinePunct w:val="0"/>
        <w:bidi w:val="0"/>
        <w:spacing w:line="560" w:lineRule="exact"/>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综合上述分析，此项指标分值10分，实际得分0分，扣分10分。</w:t>
      </w:r>
    </w:p>
    <w:p w14:paraId="7F8F57D4">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②动态调整</w:t>
      </w:r>
    </w:p>
    <w:p w14:paraId="29F5DC9C">
      <w:pPr>
        <w:pStyle w:val="4"/>
        <w:pageBreakBefore w:val="0"/>
        <w:wordWrap/>
        <w:overflowPunct/>
        <w:topLinePunct w:val="0"/>
        <w:bidi w:val="0"/>
        <w:spacing w:line="560" w:lineRule="exact"/>
        <w:rPr>
          <w:rFonts w:hint="eastAsia"/>
          <w:highlight w:val="none"/>
        </w:rPr>
      </w:pPr>
      <w:r>
        <w:rPr>
          <w:rFonts w:hint="eastAsia"/>
          <w:highlight w:val="none"/>
        </w:rPr>
        <w:t>根据部门项目绩效监控分析表及相关数据知，</w:t>
      </w:r>
      <w:r>
        <w:rPr>
          <w:rFonts w:hint="eastAsia"/>
          <w:highlight w:val="none"/>
          <w:lang w:val="en-US" w:eastAsia="zh-CN"/>
        </w:rPr>
        <w:t>紫竹路小学</w:t>
      </w:r>
      <w:r>
        <w:rPr>
          <w:rFonts w:hint="eastAsia"/>
          <w:highlight w:val="none"/>
        </w:rPr>
        <w:t>开展绩效运行监控后，无相应调整取消额，无结余注销额，绩效监控结果应用情况良好。</w:t>
      </w:r>
    </w:p>
    <w:p w14:paraId="0C2BB118">
      <w:pPr>
        <w:pStyle w:val="4"/>
        <w:pageBreakBefore w:val="0"/>
        <w:wordWrap/>
        <w:overflowPunct/>
        <w:topLinePunct w:val="0"/>
        <w:bidi w:val="0"/>
        <w:spacing w:line="560" w:lineRule="exact"/>
        <w:rPr>
          <w:rFonts w:hint="eastAsia"/>
          <w:highlight w:val="none"/>
          <w:lang w:val="en-US" w:eastAsia="zh-CN"/>
        </w:rPr>
      </w:pPr>
      <w:r>
        <w:rPr>
          <w:rFonts w:hint="eastAsia"/>
          <w:color w:val="000000" w:themeColor="text1"/>
          <w:highlight w:val="none"/>
          <w:lang w:val="en-US" w:eastAsia="zh-CN"/>
          <w14:textFill>
            <w14:solidFill>
              <w14:schemeClr w14:val="tx1"/>
            </w14:solidFill>
          </w14:textFill>
        </w:rPr>
        <w:t>综合上述分析，此项指标分值10分，实际得分10分。</w:t>
      </w:r>
    </w:p>
    <w:p w14:paraId="79F8768F">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③执行进度</w:t>
      </w:r>
    </w:p>
    <w:p w14:paraId="1104A460">
      <w:pPr>
        <w:pStyle w:val="4"/>
        <w:pageBreakBefore w:val="0"/>
        <w:wordWrap/>
        <w:overflowPunct/>
        <w:topLinePunct w:val="0"/>
        <w:bidi w:val="0"/>
        <w:spacing w:line="560" w:lineRule="exact"/>
        <w:rPr>
          <w:rFonts w:hint="eastAsia"/>
          <w:highlight w:val="none"/>
        </w:rPr>
      </w:pPr>
      <w:r>
        <w:rPr>
          <w:rFonts w:hint="eastAsia"/>
          <w:highlight w:val="none"/>
        </w:rPr>
        <w:t>在</w:t>
      </w:r>
      <w:r>
        <w:rPr>
          <w:rFonts w:hint="eastAsia"/>
          <w:highlight w:val="none"/>
          <w:lang w:val="en-US"/>
        </w:rPr>
        <w:t>202</w:t>
      </w:r>
      <w:r>
        <w:rPr>
          <w:rFonts w:hint="eastAsia"/>
          <w:highlight w:val="none"/>
          <w:lang w:val="en-US" w:eastAsia="zh-CN"/>
        </w:rPr>
        <w:t>1</w:t>
      </w:r>
      <w:r>
        <w:rPr>
          <w:rFonts w:hint="eastAsia"/>
          <w:highlight w:val="none"/>
          <w:lang w:val="en-US"/>
        </w:rPr>
        <w:t>年6月、9</w:t>
      </w:r>
      <w:r>
        <w:rPr>
          <w:rFonts w:hint="eastAsia"/>
          <w:highlight w:val="none"/>
        </w:rPr>
        <w:t>月、11月预算执行进度</w:t>
      </w:r>
      <w:r>
        <w:rPr>
          <w:highlight w:val="none"/>
        </w:rPr>
        <w:t>分别为</w:t>
      </w:r>
      <w:r>
        <w:rPr>
          <w:rFonts w:hint="eastAsia"/>
          <w:highlight w:val="none"/>
        </w:rPr>
        <w:t>5</w:t>
      </w:r>
      <w:r>
        <w:rPr>
          <w:rFonts w:hint="eastAsia"/>
          <w:highlight w:val="none"/>
          <w:lang w:val="en-US" w:eastAsia="zh-CN"/>
        </w:rPr>
        <w:t>1.8</w:t>
      </w:r>
      <w:r>
        <w:rPr>
          <w:rFonts w:hint="eastAsia"/>
          <w:highlight w:val="none"/>
        </w:rPr>
        <w:t>%、</w:t>
      </w:r>
      <w:r>
        <w:rPr>
          <w:rFonts w:hint="eastAsia"/>
          <w:highlight w:val="none"/>
          <w:lang w:val="en-US" w:eastAsia="zh-CN"/>
        </w:rPr>
        <w:t>75.84</w:t>
      </w:r>
      <w:r>
        <w:rPr>
          <w:rFonts w:hint="eastAsia"/>
          <w:highlight w:val="none"/>
        </w:rPr>
        <w:t>%、</w:t>
      </w:r>
      <w:r>
        <w:rPr>
          <w:rFonts w:hint="eastAsia"/>
          <w:highlight w:val="none"/>
          <w:lang w:val="en-US" w:eastAsia="zh-CN"/>
        </w:rPr>
        <w:t>89.70</w:t>
      </w:r>
      <w:r>
        <w:rPr>
          <w:rFonts w:hint="eastAsia"/>
          <w:highlight w:val="none"/>
        </w:rPr>
        <w:t>%（实际支出</w:t>
      </w:r>
      <w:r>
        <w:rPr>
          <w:rFonts w:hint="eastAsia"/>
          <w:highlight w:val="none"/>
          <w:lang w:val="en-US"/>
        </w:rPr>
        <w:t>金额</w:t>
      </w:r>
      <w:r>
        <w:rPr>
          <w:rFonts w:hint="eastAsia"/>
          <w:highlight w:val="none"/>
        </w:rPr>
        <w:t>分别为</w:t>
      </w:r>
      <w:r>
        <w:rPr>
          <w:rFonts w:hint="eastAsia"/>
          <w:highlight w:val="none"/>
          <w:lang w:val="en-US" w:eastAsia="zh-CN"/>
        </w:rPr>
        <w:t>362.58</w:t>
      </w:r>
      <w:r>
        <w:rPr>
          <w:rFonts w:hint="eastAsia"/>
          <w:highlight w:val="none"/>
        </w:rPr>
        <w:t>万元、</w:t>
      </w:r>
      <w:r>
        <w:rPr>
          <w:rFonts w:hint="eastAsia"/>
          <w:highlight w:val="none"/>
          <w:lang w:val="en-US" w:eastAsia="zh-CN"/>
        </w:rPr>
        <w:t>535.15</w:t>
      </w:r>
      <w:r>
        <w:rPr>
          <w:rFonts w:hint="eastAsia"/>
          <w:highlight w:val="none"/>
        </w:rPr>
        <w:t>万元、</w:t>
      </w:r>
      <w:r>
        <w:rPr>
          <w:rFonts w:hint="eastAsia"/>
          <w:highlight w:val="none"/>
          <w:lang w:val="en-US" w:eastAsia="zh-CN"/>
        </w:rPr>
        <w:t>632.97</w:t>
      </w:r>
      <w:r>
        <w:rPr>
          <w:rFonts w:hint="eastAsia"/>
          <w:highlight w:val="none"/>
        </w:rPr>
        <w:t>万元），实际支出进度分别达到40%、67.5%、82.5%，</w:t>
      </w:r>
      <w:r>
        <w:rPr>
          <w:rFonts w:hint="eastAsia"/>
          <w:highlight w:val="none"/>
          <w:lang w:val="en-US"/>
        </w:rPr>
        <w:t>预算</w:t>
      </w:r>
      <w:r>
        <w:rPr>
          <w:rFonts w:hint="eastAsia"/>
          <w:highlight w:val="none"/>
        </w:rPr>
        <w:t>执行进度完成情况</w:t>
      </w:r>
      <w:r>
        <w:rPr>
          <w:rFonts w:hint="eastAsia"/>
          <w:highlight w:val="none"/>
          <w:lang w:val="en-US" w:eastAsia="zh-CN"/>
        </w:rPr>
        <w:t>好</w:t>
      </w:r>
      <w:r>
        <w:rPr>
          <w:rFonts w:hint="eastAsia"/>
          <w:highlight w:val="none"/>
        </w:rPr>
        <w:t>。</w:t>
      </w:r>
    </w:p>
    <w:p w14:paraId="4492AFB5">
      <w:pPr>
        <w:pStyle w:val="4"/>
        <w:pageBreakBefore w:val="0"/>
        <w:wordWrap/>
        <w:overflowPunct/>
        <w:topLinePunct w:val="0"/>
        <w:bidi w:val="0"/>
        <w:spacing w:line="560" w:lineRule="exact"/>
        <w:rPr>
          <w:rFonts w:hint="default"/>
          <w:highlight w:val="none"/>
          <w:lang w:val="en-US" w:eastAsia="zh-CN"/>
        </w:rPr>
      </w:pPr>
      <w:r>
        <w:rPr>
          <w:rFonts w:hint="eastAsia"/>
          <w:color w:val="000000" w:themeColor="text1"/>
          <w:highlight w:val="none"/>
          <w:lang w:val="en-US" w:eastAsia="zh-CN"/>
          <w14:textFill>
            <w14:solidFill>
              <w14:schemeClr w14:val="tx1"/>
            </w14:solidFill>
          </w14:textFill>
        </w:rPr>
        <w:t>综合上述分析，此项指标分值10分，实际得分10分。</w:t>
      </w:r>
    </w:p>
    <w:p w14:paraId="10A4ED91">
      <w:pPr>
        <w:pStyle w:val="4"/>
        <w:pageBreakBefore w:val="0"/>
        <w:widowControl w:val="0"/>
        <w:numPr>
          <w:ilvl w:val="0"/>
          <w:numId w:val="3"/>
        </w:numPr>
        <w:kinsoku/>
        <w:wordWrap/>
        <w:overflowPunct/>
        <w:topLinePunct w:val="0"/>
        <w:autoSpaceDE/>
        <w:autoSpaceDN/>
        <w:bidi w:val="0"/>
        <w:spacing w:line="560" w:lineRule="exact"/>
        <w:ind w:left="0" w:leftChars="0" w:firstLine="643" w:firstLineChars="200"/>
        <w:textAlignment w:val="auto"/>
        <w:outlineLvl w:val="2"/>
        <w:rPr>
          <w:rFonts w:hint="default"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完成结果</w:t>
      </w:r>
    </w:p>
    <w:p w14:paraId="43BE4BD5">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①预算完成</w:t>
      </w:r>
    </w:p>
    <w:p w14:paraId="005085A6">
      <w:pPr>
        <w:pStyle w:val="4"/>
        <w:pageBreakBefore w:val="0"/>
        <w:wordWrap/>
        <w:overflowPunct/>
        <w:topLinePunct w:val="0"/>
        <w:bidi w:val="0"/>
        <w:spacing w:line="560" w:lineRule="exact"/>
        <w:rPr>
          <w:rFonts w:hint="eastAsia" w:ascii="Times New Roman" w:hAnsi="Times New Roman" w:eastAsia="仿宋_GB2312" w:cs="Times New Roman"/>
          <w:kern w:val="0"/>
          <w:sz w:val="32"/>
          <w:szCs w:val="32"/>
          <w:highlight w:val="none"/>
        </w:rPr>
      </w:pPr>
      <w:r>
        <w:rPr>
          <w:rFonts w:hint="eastAsia" w:ascii="Times New Roman" w:hAnsi="Times New Roman" w:eastAsia="仿宋_GB2312" w:cs="Times New Roman"/>
          <w:kern w:val="0"/>
          <w:sz w:val="32"/>
          <w:szCs w:val="32"/>
          <w:highlight w:val="none"/>
        </w:rPr>
        <w:t>202</w:t>
      </w:r>
      <w:r>
        <w:rPr>
          <w:rFonts w:hint="eastAsia" w:ascii="Times New Roman" w:hAnsi="Times New Roman" w:eastAsia="仿宋_GB2312" w:cs="Times New Roman"/>
          <w:kern w:val="0"/>
          <w:sz w:val="32"/>
          <w:szCs w:val="32"/>
          <w:highlight w:val="none"/>
          <w:lang w:val="en-US" w:eastAsia="zh-CN"/>
        </w:rPr>
        <w:t>1</w:t>
      </w:r>
      <w:r>
        <w:rPr>
          <w:rFonts w:hint="eastAsia" w:ascii="Times New Roman" w:hAnsi="Times New Roman" w:eastAsia="仿宋_GB2312" w:cs="Times New Roman"/>
          <w:kern w:val="0"/>
          <w:sz w:val="32"/>
          <w:szCs w:val="32"/>
          <w:highlight w:val="none"/>
        </w:rPr>
        <w:t>年部门</w:t>
      </w:r>
      <w:r>
        <w:rPr>
          <w:rFonts w:hint="eastAsia" w:ascii="Times New Roman" w:hAnsi="Times New Roman" w:eastAsia="仿宋_GB2312" w:cs="Times New Roman"/>
          <w:kern w:val="0"/>
          <w:sz w:val="32"/>
          <w:szCs w:val="32"/>
          <w:highlight w:val="none"/>
          <w:lang w:val="en-US" w:eastAsia="zh-CN"/>
        </w:rPr>
        <w:t>调整</w:t>
      </w:r>
      <w:r>
        <w:rPr>
          <w:rFonts w:hint="eastAsia" w:ascii="Times New Roman" w:hAnsi="Times New Roman" w:eastAsia="仿宋_GB2312" w:cs="Times New Roman"/>
          <w:kern w:val="0"/>
          <w:sz w:val="32"/>
          <w:szCs w:val="32"/>
          <w:highlight w:val="none"/>
        </w:rPr>
        <w:t>预算</w:t>
      </w:r>
      <w:r>
        <w:rPr>
          <w:rFonts w:hint="eastAsia" w:ascii="Times New Roman" w:hAnsi="Times New Roman" w:eastAsia="仿宋_GB2312" w:cs="Times New Roman"/>
          <w:kern w:val="0"/>
          <w:sz w:val="32"/>
          <w:szCs w:val="32"/>
          <w:highlight w:val="none"/>
          <w:lang w:val="en-US" w:eastAsia="zh-CN"/>
        </w:rPr>
        <w:t>为</w:t>
      </w:r>
      <w:r>
        <w:rPr>
          <w:rFonts w:hint="eastAsia"/>
          <w:color w:val="000000" w:themeColor="text1"/>
          <w:highlight w:val="none"/>
          <w:lang w:val="en-US" w:eastAsia="zh-CN"/>
          <w14:textFill>
            <w14:solidFill>
              <w14:schemeClr w14:val="tx1"/>
            </w14:solidFill>
          </w14:textFill>
        </w:rPr>
        <w:t>1,016.6万元，</w:t>
      </w:r>
      <w:r>
        <w:rPr>
          <w:rFonts w:hint="eastAsia"/>
          <w:color w:val="000000" w:themeColor="text1"/>
          <w:highlight w:val="none"/>
          <w:lang w:val="en-US"/>
          <w14:textFill>
            <w14:solidFill>
              <w14:schemeClr w14:val="tx1"/>
            </w14:solidFill>
          </w14:textFill>
        </w:rPr>
        <w:t>支出决算数为</w:t>
      </w:r>
      <w:r>
        <w:rPr>
          <w:rFonts w:hint="eastAsia"/>
          <w:color w:val="000000" w:themeColor="text1"/>
          <w:highlight w:val="none"/>
          <w:lang w:val="en-US" w:eastAsia="zh-CN"/>
          <w14:textFill>
            <w14:solidFill>
              <w14:schemeClr w14:val="tx1"/>
            </w14:solidFill>
          </w14:textFill>
        </w:rPr>
        <w:t>984</w:t>
      </w:r>
      <w:r>
        <w:rPr>
          <w:rFonts w:hint="eastAsia"/>
          <w:color w:val="000000" w:themeColor="text1"/>
          <w:highlight w:val="none"/>
          <w:lang w:val="en-US"/>
          <w14:textFill>
            <w14:solidFill>
              <w14:schemeClr w14:val="tx1"/>
            </w14:solidFill>
          </w14:textFill>
        </w:rPr>
        <w:t>万元</w:t>
      </w:r>
      <w:r>
        <w:rPr>
          <w:rFonts w:hint="eastAsia" w:ascii="Times New Roman" w:hAnsi="Times New Roman" w:eastAsia="仿宋_GB2312" w:cs="Times New Roman"/>
          <w:kern w:val="0"/>
          <w:sz w:val="32"/>
          <w:szCs w:val="32"/>
          <w:highlight w:val="none"/>
        </w:rPr>
        <w:t>，部门整体实际预算执行率为</w:t>
      </w:r>
      <w:r>
        <w:rPr>
          <w:rFonts w:hint="eastAsia" w:ascii="Times New Roman" w:hAnsi="Times New Roman" w:eastAsia="仿宋"/>
          <w:color w:val="auto"/>
          <w:sz w:val="32"/>
          <w:szCs w:val="32"/>
          <w:lang w:val="en-US" w:eastAsia="zh-CN"/>
        </w:rPr>
        <w:t>96.79%</w:t>
      </w:r>
      <w:r>
        <w:rPr>
          <w:rFonts w:hint="eastAsia" w:ascii="Times New Roman" w:hAnsi="Times New Roman" w:eastAsia="仿宋_GB2312" w:cs="Times New Roman"/>
          <w:kern w:val="0"/>
          <w:sz w:val="32"/>
          <w:szCs w:val="32"/>
          <w:highlight w:val="none"/>
        </w:rPr>
        <w:t>，预算完成情况</w:t>
      </w:r>
      <w:r>
        <w:rPr>
          <w:rFonts w:hint="eastAsia" w:cs="Times New Roman"/>
          <w:kern w:val="0"/>
          <w:sz w:val="32"/>
          <w:szCs w:val="32"/>
          <w:highlight w:val="none"/>
          <w:lang w:val="en-US" w:eastAsia="zh-CN"/>
        </w:rPr>
        <w:t>较好</w:t>
      </w:r>
      <w:r>
        <w:rPr>
          <w:rFonts w:hint="eastAsia" w:ascii="Times New Roman" w:hAnsi="Times New Roman" w:eastAsia="仿宋_GB2312" w:cs="Times New Roman"/>
          <w:kern w:val="0"/>
          <w:sz w:val="32"/>
          <w:szCs w:val="32"/>
          <w:highlight w:val="none"/>
        </w:rPr>
        <w:t>。</w:t>
      </w:r>
    </w:p>
    <w:p w14:paraId="63BE32C5">
      <w:pPr>
        <w:pStyle w:val="4"/>
        <w:pageBreakBefore w:val="0"/>
        <w:wordWrap/>
        <w:overflowPunct/>
        <w:topLinePunct w:val="0"/>
        <w:bidi w:val="0"/>
        <w:spacing w:line="560" w:lineRule="exact"/>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根据评分公式，得分=</w:t>
      </w:r>
      <w:r>
        <w:rPr>
          <w:rFonts w:hint="eastAsia" w:ascii="Times New Roman" w:hAnsi="Times New Roman" w:eastAsia="仿宋"/>
          <w:color w:val="auto"/>
          <w:sz w:val="32"/>
          <w:szCs w:val="32"/>
          <w:lang w:val="en-US" w:eastAsia="zh-CN"/>
        </w:rPr>
        <w:t>96.79%*</w:t>
      </w:r>
      <w:r>
        <w:rPr>
          <w:rFonts w:hint="eastAsia" w:eastAsia="仿宋"/>
          <w:color w:val="auto"/>
          <w:sz w:val="32"/>
          <w:szCs w:val="32"/>
          <w:lang w:val="en-US" w:eastAsia="zh-CN"/>
        </w:rPr>
        <w:t>10=9.67</w:t>
      </w:r>
    </w:p>
    <w:p w14:paraId="3DA09988">
      <w:pPr>
        <w:pStyle w:val="4"/>
        <w:pageBreakBefore w:val="0"/>
        <w:wordWrap/>
        <w:overflowPunct/>
        <w:topLinePunct w:val="0"/>
        <w:bidi w:val="0"/>
        <w:spacing w:line="560" w:lineRule="exact"/>
        <w:rPr>
          <w:rFonts w:hint="eastAsia" w:ascii="Times New Roman" w:hAnsi="Times New Roman" w:eastAsia="仿宋_GB2312" w:cs="Times New Roman"/>
          <w:kern w:val="0"/>
          <w:sz w:val="32"/>
          <w:szCs w:val="32"/>
          <w:highlight w:val="none"/>
        </w:rPr>
      </w:pPr>
      <w:r>
        <w:rPr>
          <w:rFonts w:hint="eastAsia"/>
          <w:color w:val="000000" w:themeColor="text1"/>
          <w:highlight w:val="none"/>
          <w:lang w:val="en-US" w:eastAsia="zh-CN"/>
          <w14:textFill>
            <w14:solidFill>
              <w14:schemeClr w14:val="tx1"/>
            </w14:solidFill>
          </w14:textFill>
        </w:rPr>
        <w:t>综合上述分析，此项指标分值10分，实际得分9.67分，扣分0.33分。</w:t>
      </w:r>
    </w:p>
    <w:p w14:paraId="3B981AB7">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②违规记录</w:t>
      </w:r>
    </w:p>
    <w:p w14:paraId="76671DE9">
      <w:pPr>
        <w:pageBreakBefore w:val="0"/>
        <w:wordWrap/>
        <w:overflowPunct/>
        <w:topLinePunct w:val="0"/>
        <w:autoSpaceDE w:val="0"/>
        <w:autoSpaceDN w:val="0"/>
        <w:bidi w:val="0"/>
        <w:adjustRightInd w:val="0"/>
        <w:spacing w:line="560" w:lineRule="exact"/>
        <w:ind w:firstLine="640" w:firstLineChars="200"/>
        <w:jc w:val="left"/>
        <w:rPr>
          <w:rFonts w:hint="eastAsia" w:ascii="Times New Roman" w:hAnsi="Times New Roman" w:eastAsia="仿宋_GB2312" w:cs="Times New Roman"/>
          <w:kern w:val="0"/>
          <w:sz w:val="32"/>
          <w:szCs w:val="32"/>
          <w:highlight w:val="none"/>
        </w:rPr>
      </w:pPr>
      <w:r>
        <w:rPr>
          <w:rFonts w:hint="eastAsia" w:ascii="Times New Roman" w:hAnsi="Times New Roman" w:eastAsia="仿宋_GB2312" w:cs="Times New Roman"/>
          <w:kern w:val="0"/>
          <w:sz w:val="32"/>
          <w:szCs w:val="32"/>
          <w:highlight w:val="none"/>
          <w:lang w:val="en-US" w:eastAsia="zh-CN"/>
        </w:rPr>
        <w:t>2021年，单位未接受</w:t>
      </w:r>
      <w:r>
        <w:rPr>
          <w:rFonts w:hint="eastAsia" w:ascii="Times New Roman" w:hAnsi="Times New Roman" w:eastAsia="仿宋_GB2312" w:cs="Times New Roman"/>
          <w:kern w:val="0"/>
          <w:sz w:val="32"/>
          <w:szCs w:val="32"/>
          <w:highlight w:val="none"/>
        </w:rPr>
        <w:t>审计监督、财政检查，不存在部门预算管理方面违纪违规问题。</w:t>
      </w:r>
    </w:p>
    <w:p w14:paraId="3E59E19C">
      <w:pPr>
        <w:pStyle w:val="4"/>
        <w:pageBreakBefore w:val="0"/>
        <w:wordWrap/>
        <w:overflowPunct/>
        <w:topLinePunct w:val="0"/>
        <w:bidi w:val="0"/>
        <w:spacing w:line="560" w:lineRule="exact"/>
        <w:rPr>
          <w:rFonts w:hint="eastAsia"/>
        </w:rPr>
      </w:pPr>
      <w:r>
        <w:rPr>
          <w:rFonts w:hint="eastAsia"/>
          <w:color w:val="000000" w:themeColor="text1"/>
          <w:highlight w:val="none"/>
          <w:lang w:val="en-US" w:eastAsia="zh-CN"/>
          <w14:textFill>
            <w14:solidFill>
              <w14:schemeClr w14:val="tx1"/>
            </w14:solidFill>
          </w14:textFill>
        </w:rPr>
        <w:t>综合上述分析，此项指标分值10分，实际得分10分。</w:t>
      </w:r>
    </w:p>
    <w:p w14:paraId="49EADB29">
      <w:pPr>
        <w:pStyle w:val="4"/>
        <w:pageBreakBefore w:val="0"/>
        <w:widowControl w:val="0"/>
        <w:numPr>
          <w:ilvl w:val="-1"/>
          <w:numId w:val="0"/>
        </w:numPr>
        <w:kinsoku/>
        <w:wordWrap/>
        <w:overflowPunct/>
        <w:topLinePunct w:val="0"/>
        <w:autoSpaceDE/>
        <w:autoSpaceDN/>
        <w:bidi w:val="0"/>
        <w:spacing w:line="560" w:lineRule="exact"/>
        <w:ind w:left="0" w:leftChars="0" w:firstLine="643" w:firstLineChars="200"/>
        <w:textAlignment w:val="auto"/>
        <w:outlineLvl w:val="2"/>
        <w:rPr>
          <w:rFonts w:hint="default"/>
          <w:lang w:val="en-US" w:eastAsia="zh-CN"/>
        </w:rPr>
      </w:pPr>
      <w:r>
        <w:rPr>
          <w:rFonts w:hint="eastAsia" w:ascii="仿宋" w:hAnsi="仿宋" w:eastAsia="仿宋" w:cs="仿宋"/>
          <w:b/>
          <w:color w:val="auto"/>
          <w:kern w:val="2"/>
          <w:sz w:val="32"/>
          <w:szCs w:val="32"/>
          <w:lang w:val="en-US" w:eastAsia="zh-CN" w:bidi="ar-SA"/>
        </w:rPr>
        <w:t>2.绩效结果应用</w:t>
      </w:r>
    </w:p>
    <w:p w14:paraId="66C890B6">
      <w:pPr>
        <w:pStyle w:val="4"/>
        <w:pageBreakBefore w:val="0"/>
        <w:widowControl w:val="0"/>
        <w:numPr>
          <w:ilvl w:val="0"/>
          <w:numId w:val="0"/>
        </w:numPr>
        <w:kinsoku/>
        <w:wordWrap/>
        <w:overflowPunct/>
        <w:topLinePunct w:val="0"/>
        <w:autoSpaceDE/>
        <w:autoSpaceDN/>
        <w:bidi w:val="0"/>
        <w:spacing w:line="560" w:lineRule="exact"/>
        <w:ind w:leftChars="200"/>
        <w:textAlignment w:val="auto"/>
        <w:outlineLvl w:val="2"/>
        <w:rPr>
          <w:rFonts w:hint="default"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（1）信息公开</w:t>
      </w:r>
    </w:p>
    <w:p w14:paraId="24217294">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①自评公开</w:t>
      </w:r>
    </w:p>
    <w:p w14:paraId="622C5E2F">
      <w:pPr>
        <w:pStyle w:val="4"/>
        <w:pageBreakBefore w:val="0"/>
        <w:wordWrap/>
        <w:overflowPunct/>
        <w:topLinePunct w:val="0"/>
        <w:bidi w:val="0"/>
        <w:spacing w:line="560" w:lineRule="exact"/>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紫竹路小学</w:t>
      </w:r>
      <w:r>
        <w:rPr>
          <w:color w:val="000000" w:themeColor="text1"/>
          <w:highlight w:val="none"/>
          <w14:textFill>
            <w14:solidFill>
              <w14:schemeClr w14:val="tx1"/>
            </w14:solidFill>
          </w14:textFill>
        </w:rPr>
        <w:t>20</w:t>
      </w:r>
      <w:r>
        <w:rPr>
          <w:rFonts w:hint="eastAsia"/>
          <w:color w:val="000000" w:themeColor="text1"/>
          <w:highlight w:val="none"/>
          <w:lang w:val="en-US" w:eastAsia="zh-CN"/>
          <w14:textFill>
            <w14:solidFill>
              <w14:schemeClr w14:val="tx1"/>
            </w14:solidFill>
          </w14:textFill>
        </w:rPr>
        <w:t>21</w:t>
      </w:r>
      <w:r>
        <w:rPr>
          <w:color w:val="000000" w:themeColor="text1"/>
          <w:highlight w:val="none"/>
          <w14:textFill>
            <w14:solidFill>
              <w14:schemeClr w14:val="tx1"/>
            </w14:solidFill>
          </w14:textFill>
        </w:rPr>
        <w:t>年预算编制说明和</w:t>
      </w:r>
      <w:r>
        <w:rPr>
          <w:rFonts w:hint="eastAsia"/>
          <w:color w:val="000000" w:themeColor="text1"/>
          <w:highlight w:val="none"/>
          <w14:textFill>
            <w14:solidFill>
              <w14:schemeClr w14:val="tx1"/>
            </w14:solidFill>
          </w14:textFill>
        </w:rPr>
        <w:t>附件</w:t>
      </w:r>
      <w:r>
        <w:rPr>
          <w:color w:val="000000" w:themeColor="text1"/>
          <w:highlight w:val="none"/>
          <w14:textFill>
            <w14:solidFill>
              <w14:schemeClr w14:val="tx1"/>
            </w14:solidFill>
          </w14:textFill>
        </w:rPr>
        <w:t>、20</w:t>
      </w:r>
      <w:r>
        <w:rPr>
          <w:rFonts w:hint="eastAsia"/>
          <w:color w:val="000000" w:themeColor="text1"/>
          <w:highlight w:val="none"/>
          <w:lang w:val="en-US" w:eastAsia="zh-CN"/>
          <w14:textFill>
            <w14:solidFill>
              <w14:schemeClr w14:val="tx1"/>
            </w14:solidFill>
          </w14:textFill>
        </w:rPr>
        <w:t>21</w:t>
      </w:r>
      <w:r>
        <w:rPr>
          <w:color w:val="000000" w:themeColor="text1"/>
          <w:highlight w:val="none"/>
          <w14:textFill>
            <w14:solidFill>
              <w14:schemeClr w14:val="tx1"/>
            </w14:solidFill>
          </w14:textFill>
        </w:rPr>
        <w:t>年决算公开编制说明和</w:t>
      </w:r>
      <w:r>
        <w:rPr>
          <w:rFonts w:hint="eastAsia"/>
          <w:color w:val="000000" w:themeColor="text1"/>
          <w:highlight w:val="none"/>
          <w14:textFill>
            <w14:solidFill>
              <w14:schemeClr w14:val="tx1"/>
            </w14:solidFill>
          </w14:textFill>
        </w:rPr>
        <w:t>附件</w:t>
      </w:r>
      <w:r>
        <w:rPr>
          <w:color w:val="000000" w:themeColor="text1"/>
          <w:highlight w:val="none"/>
          <w14:textFill>
            <w14:solidFill>
              <w14:schemeClr w14:val="tx1"/>
            </w14:solidFill>
          </w14:textFill>
        </w:rPr>
        <w:t>已按规定公开</w:t>
      </w:r>
      <w:r>
        <w:rPr>
          <w:rFonts w:hint="eastAsia"/>
          <w:color w:val="000000" w:themeColor="text1"/>
          <w:highlight w:val="none"/>
          <w14:textFill>
            <w14:solidFill>
              <w14:schemeClr w14:val="tx1"/>
            </w14:solidFill>
          </w14:textFill>
        </w:rPr>
        <w:t>于</w:t>
      </w:r>
      <w:r>
        <w:rPr>
          <w:rFonts w:hint="eastAsia"/>
          <w:color w:val="000000" w:themeColor="text1"/>
          <w:highlight w:val="none"/>
          <w:lang w:val="en-US" w:eastAsia="zh-CN"/>
          <w14:textFill>
            <w14:solidFill>
              <w14:schemeClr w14:val="tx1"/>
            </w14:solidFill>
          </w14:textFill>
        </w:rPr>
        <w:t>遂宁市河东新区管理委员会政府</w:t>
      </w:r>
      <w:r>
        <w:rPr>
          <w:rFonts w:hint="eastAsia"/>
          <w:color w:val="000000" w:themeColor="text1"/>
          <w:highlight w:val="none"/>
          <w14:textFill>
            <w14:solidFill>
              <w14:schemeClr w14:val="tx1"/>
            </w14:solidFill>
          </w14:textFill>
        </w:rPr>
        <w:t>信息公开网</w:t>
      </w:r>
      <w:r>
        <w:rPr>
          <w:color w:val="000000" w:themeColor="text1"/>
          <w:highlight w:val="none"/>
          <w14:textFill>
            <w14:solidFill>
              <w14:schemeClr w14:val="tx1"/>
            </w14:solidFill>
          </w14:textFill>
        </w:rPr>
        <w:t>，20</w:t>
      </w:r>
      <w:r>
        <w:rPr>
          <w:rFonts w:hint="eastAsia"/>
          <w:color w:val="000000" w:themeColor="text1"/>
          <w:highlight w:val="none"/>
          <w:lang w:val="en-US" w:eastAsia="zh-CN"/>
          <w14:textFill>
            <w14:solidFill>
              <w14:schemeClr w14:val="tx1"/>
            </w14:solidFill>
          </w14:textFill>
        </w:rPr>
        <w:t>20</w:t>
      </w:r>
      <w:r>
        <w:rPr>
          <w:color w:val="000000" w:themeColor="text1"/>
          <w:highlight w:val="none"/>
          <w14:textFill>
            <w14:solidFill>
              <w14:schemeClr w14:val="tx1"/>
            </w14:solidFill>
          </w14:textFill>
        </w:rPr>
        <w:t>年度整体支出绩效自评报告已随决算</w:t>
      </w:r>
      <w:r>
        <w:rPr>
          <w:rFonts w:hint="eastAsia"/>
          <w:color w:val="000000" w:themeColor="text1"/>
          <w:highlight w:val="none"/>
          <w:lang w:val="en-US"/>
          <w14:textFill>
            <w14:solidFill>
              <w14:schemeClr w14:val="tx1"/>
            </w14:solidFill>
          </w14:textFill>
        </w:rPr>
        <w:t>同时</w:t>
      </w:r>
      <w:r>
        <w:rPr>
          <w:color w:val="000000" w:themeColor="text1"/>
          <w:highlight w:val="none"/>
          <w14:textFill>
            <w14:solidFill>
              <w14:schemeClr w14:val="tx1"/>
            </w14:solidFill>
          </w14:textFill>
        </w:rPr>
        <w:t>公开，符合</w:t>
      </w:r>
      <w:r>
        <w:rPr>
          <w:rFonts w:hint="eastAsia"/>
          <w:color w:val="000000" w:themeColor="text1"/>
          <w:highlight w:val="none"/>
          <w14:textFill>
            <w14:solidFill>
              <w14:schemeClr w14:val="tx1"/>
            </w14:solidFill>
          </w14:textFill>
        </w:rPr>
        <w:t>信息公开</w:t>
      </w:r>
      <w:r>
        <w:rPr>
          <w:color w:val="000000" w:themeColor="text1"/>
          <w:highlight w:val="none"/>
          <w14:textFill>
            <w14:solidFill>
              <w14:schemeClr w14:val="tx1"/>
            </w14:solidFill>
          </w14:textFill>
        </w:rPr>
        <w:t>相关</w:t>
      </w:r>
      <w:r>
        <w:rPr>
          <w:rFonts w:hint="eastAsia"/>
          <w:color w:val="000000" w:themeColor="text1"/>
          <w:highlight w:val="none"/>
          <w:lang w:val="en-US"/>
          <w14:textFill>
            <w14:solidFill>
              <w14:schemeClr w14:val="tx1"/>
            </w14:solidFill>
          </w14:textFill>
        </w:rPr>
        <w:t>法律法规</w:t>
      </w:r>
      <w:r>
        <w:rPr>
          <w:color w:val="000000" w:themeColor="text1"/>
          <w:highlight w:val="none"/>
          <w14:textFill>
            <w14:solidFill>
              <w14:schemeClr w14:val="tx1"/>
            </w14:solidFill>
          </w14:textFill>
        </w:rPr>
        <w:t>规定。</w:t>
      </w:r>
    </w:p>
    <w:p w14:paraId="5D213A97">
      <w:pPr>
        <w:pStyle w:val="4"/>
        <w:pageBreakBefore w:val="0"/>
        <w:wordWrap/>
        <w:overflowPunct/>
        <w:topLinePunct w:val="0"/>
        <w:bidi w:val="0"/>
        <w:spacing w:line="560" w:lineRule="exact"/>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综合上述分析，此项指标分值2分，实际得分2分。</w:t>
      </w:r>
    </w:p>
    <w:p w14:paraId="6BC421CB">
      <w:pPr>
        <w:pStyle w:val="4"/>
        <w:pageBreakBefore w:val="0"/>
        <w:widowControl w:val="0"/>
        <w:numPr>
          <w:ilvl w:val="0"/>
          <w:numId w:val="0"/>
        </w:numPr>
        <w:kinsoku/>
        <w:wordWrap/>
        <w:overflowPunct/>
        <w:topLinePunct w:val="0"/>
        <w:autoSpaceDE/>
        <w:autoSpaceDN/>
        <w:bidi w:val="0"/>
        <w:spacing w:line="560" w:lineRule="exact"/>
        <w:ind w:leftChars="200"/>
        <w:textAlignment w:val="auto"/>
        <w:outlineLvl w:val="2"/>
        <w:rPr>
          <w:rFonts w:hint="default"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（2）整改反馈</w:t>
      </w:r>
    </w:p>
    <w:p w14:paraId="1E64663D">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①结果整改</w:t>
      </w:r>
    </w:p>
    <w:p w14:paraId="735474E6">
      <w:pPr>
        <w:pStyle w:val="4"/>
        <w:pageBreakBefore w:val="0"/>
        <w:widowControl w:val="0"/>
        <w:numPr>
          <w:ilvl w:val="0"/>
          <w:numId w:val="0"/>
        </w:numPr>
        <w:kinsoku/>
        <w:wordWrap/>
        <w:overflowPunct/>
        <w:topLinePunct w:val="0"/>
        <w:autoSpaceDE/>
        <w:autoSpaceDN/>
        <w:bidi w:val="0"/>
        <w:spacing w:line="560" w:lineRule="exact"/>
        <w:ind w:leftChars="0" w:firstLine="640" w:firstLineChars="200"/>
        <w:textAlignment w:val="auto"/>
        <w:outlineLvl w:val="9"/>
        <w:rPr>
          <w:rFonts w:hint="eastAsia"/>
          <w:highlight w:val="none"/>
          <w:lang w:val="en-US" w:eastAsia="zh-CN"/>
        </w:rPr>
      </w:pPr>
      <w:r>
        <w:rPr>
          <w:rFonts w:hint="eastAsia"/>
          <w:highlight w:val="none"/>
          <w:lang w:val="en-US" w:eastAsia="zh-CN"/>
        </w:rPr>
        <w:t>紫竹路小学</w:t>
      </w:r>
      <w:r>
        <w:rPr>
          <w:rFonts w:hint="eastAsia"/>
          <w:highlight w:val="none"/>
          <w:lang w:val="en-US"/>
        </w:rPr>
        <w:t>针对绩效管理过程中（包括绩效目标核查、绩效监控核查和重点绩效评价）提出的问题进行了相应的整改，并将绩效管理结果用于完善政策、改进管理、预算挂钩等相关程序中</w:t>
      </w:r>
      <w:r>
        <w:rPr>
          <w:rFonts w:hint="eastAsia"/>
          <w:highlight w:val="none"/>
          <w:lang w:val="en-US" w:eastAsia="zh-CN"/>
        </w:rPr>
        <w:t>。</w:t>
      </w:r>
    </w:p>
    <w:p w14:paraId="4D9DB6B9">
      <w:pPr>
        <w:pStyle w:val="4"/>
        <w:pageBreakBefore w:val="0"/>
        <w:wordWrap/>
        <w:overflowPunct/>
        <w:topLinePunct w:val="0"/>
        <w:bidi w:val="0"/>
        <w:spacing w:line="560" w:lineRule="exact"/>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综合上述分析，此项指标分值4分，实际得分4分。</w:t>
      </w:r>
    </w:p>
    <w:p w14:paraId="32EDE771">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②应用反馈</w:t>
      </w:r>
    </w:p>
    <w:p w14:paraId="11ED8135">
      <w:pPr>
        <w:pStyle w:val="4"/>
        <w:pageBreakBefore w:val="0"/>
        <w:wordWrap/>
        <w:overflowPunct/>
        <w:topLinePunct w:val="0"/>
        <w:bidi w:val="0"/>
        <w:spacing w:line="560" w:lineRule="exact"/>
        <w:rPr>
          <w:rFonts w:hint="eastAsia"/>
          <w:highlight w:val="none"/>
          <w:lang w:val="zh-CN"/>
        </w:rPr>
      </w:pPr>
      <w:r>
        <w:rPr>
          <w:rFonts w:hint="eastAsia"/>
          <w:highlight w:val="none"/>
          <w:lang w:val="zh-CN"/>
        </w:rPr>
        <w:t>经评价组现场访谈及核查，</w:t>
      </w:r>
      <w:r>
        <w:rPr>
          <w:rFonts w:hint="eastAsia"/>
          <w:highlight w:val="none"/>
          <w:lang w:val="en-US" w:eastAsia="zh-CN"/>
        </w:rPr>
        <w:t>紫竹路小学</w:t>
      </w:r>
      <w:r>
        <w:rPr>
          <w:rFonts w:hint="eastAsia"/>
          <w:highlight w:val="none"/>
          <w:lang w:val="zh-CN"/>
        </w:rPr>
        <w:t>在20</w:t>
      </w:r>
      <w:r>
        <w:rPr>
          <w:rFonts w:hint="eastAsia"/>
          <w:highlight w:val="none"/>
          <w:lang w:val="en-US" w:eastAsia="zh-CN"/>
        </w:rPr>
        <w:t>20</w:t>
      </w:r>
      <w:r>
        <w:rPr>
          <w:rFonts w:hint="eastAsia"/>
          <w:highlight w:val="none"/>
          <w:lang w:val="zh-CN"/>
        </w:rPr>
        <w:t>年部门整体绩效结果报告中提出单位存在问题:进一步做好预算编制工作，提高预算编制的合理性，预算执行力度还要进一步加强；因学校教师年龄结构年轻化导致公用经费不足。</w:t>
      </w:r>
    </w:p>
    <w:p w14:paraId="52C9255A">
      <w:pPr>
        <w:pStyle w:val="4"/>
        <w:pageBreakBefore w:val="0"/>
        <w:wordWrap/>
        <w:overflowPunct/>
        <w:topLinePunct w:val="0"/>
        <w:bidi w:val="0"/>
        <w:spacing w:line="560" w:lineRule="exact"/>
        <w:rPr>
          <w:rFonts w:hint="eastAsia"/>
          <w:highlight w:val="none"/>
          <w:lang w:val="en-US" w:eastAsia="zh-CN"/>
        </w:rPr>
      </w:pPr>
      <w:r>
        <w:rPr>
          <w:rFonts w:hint="eastAsia"/>
          <w:highlight w:val="none"/>
          <w:lang w:val="zh-CN"/>
        </w:rPr>
        <w:t>单位在202</w:t>
      </w:r>
      <w:r>
        <w:rPr>
          <w:rFonts w:hint="eastAsia"/>
          <w:highlight w:val="none"/>
          <w:lang w:val="en-US" w:eastAsia="zh-CN"/>
        </w:rPr>
        <w:t>1</w:t>
      </w:r>
      <w:r>
        <w:rPr>
          <w:rFonts w:hint="eastAsia"/>
          <w:highlight w:val="none"/>
          <w:lang w:val="zh-CN"/>
        </w:rPr>
        <w:t>年工作中进行了改进措施应用:</w:t>
      </w:r>
      <w:r>
        <w:rPr>
          <w:rFonts w:hint="eastAsia"/>
          <w:highlight w:val="none"/>
          <w:lang w:val="en-US" w:eastAsia="zh-CN"/>
        </w:rPr>
        <w:t>预算编制整体情况</w:t>
      </w:r>
      <w:r>
        <w:rPr>
          <w:rFonts w:hint="eastAsia"/>
          <w:highlight w:val="none"/>
          <w:lang w:val="zh-CN"/>
        </w:rPr>
        <w:t>较20</w:t>
      </w:r>
      <w:r>
        <w:rPr>
          <w:rFonts w:hint="eastAsia"/>
          <w:highlight w:val="none"/>
          <w:lang w:val="en-US" w:eastAsia="zh-CN"/>
        </w:rPr>
        <w:t>20</w:t>
      </w:r>
      <w:r>
        <w:rPr>
          <w:rFonts w:hint="eastAsia"/>
          <w:highlight w:val="none"/>
          <w:lang w:val="zh-CN"/>
        </w:rPr>
        <w:t>年有所提升；</w:t>
      </w:r>
      <w:r>
        <w:rPr>
          <w:rFonts w:hint="eastAsia"/>
          <w:highlight w:val="none"/>
          <w:lang w:val="en-US" w:eastAsia="zh-CN"/>
        </w:rPr>
        <w:t>根据实际情况合理测算公用经费，年中根据实际情况及时调整。</w:t>
      </w:r>
    </w:p>
    <w:p w14:paraId="5D708621">
      <w:pPr>
        <w:pStyle w:val="4"/>
        <w:pageBreakBefore w:val="0"/>
        <w:wordWrap/>
        <w:overflowPunct/>
        <w:topLinePunct w:val="0"/>
        <w:bidi w:val="0"/>
        <w:spacing w:line="560" w:lineRule="exact"/>
        <w:rPr>
          <w:rFonts w:hint="default"/>
          <w:highlight w:val="none"/>
          <w:lang w:val="en-US" w:eastAsia="zh-CN"/>
        </w:rPr>
      </w:pPr>
      <w:r>
        <w:rPr>
          <w:rFonts w:hint="eastAsia"/>
          <w:color w:val="000000" w:themeColor="text1"/>
          <w:highlight w:val="none"/>
          <w:lang w:val="en-US" w:eastAsia="zh-CN"/>
          <w14:textFill>
            <w14:solidFill>
              <w14:schemeClr w14:val="tx1"/>
            </w14:solidFill>
          </w14:textFill>
        </w:rPr>
        <w:t>综合上述分析，此项指标分值4分，实际得分4分。</w:t>
      </w:r>
    </w:p>
    <w:p w14:paraId="6BE24286">
      <w:pPr>
        <w:pStyle w:val="4"/>
        <w:pageBreakBefore w:val="0"/>
        <w:widowControl w:val="0"/>
        <w:numPr>
          <w:ilvl w:val="-1"/>
          <w:numId w:val="0"/>
        </w:numPr>
        <w:kinsoku/>
        <w:wordWrap/>
        <w:overflowPunct/>
        <w:topLinePunct w:val="0"/>
        <w:autoSpaceDE/>
        <w:autoSpaceDN/>
        <w:bidi w:val="0"/>
        <w:spacing w:line="560" w:lineRule="exact"/>
        <w:ind w:left="0" w:leftChars="0" w:firstLine="643" w:firstLineChars="200"/>
        <w:textAlignment w:val="auto"/>
        <w:outlineLvl w:val="2"/>
        <w:rPr>
          <w:rFonts w:hint="default"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3.自评质量</w:t>
      </w:r>
    </w:p>
    <w:p w14:paraId="4ECAB437">
      <w:pPr>
        <w:pStyle w:val="4"/>
        <w:pageBreakBefore w:val="0"/>
        <w:widowControl w:val="0"/>
        <w:numPr>
          <w:ilvl w:val="0"/>
          <w:numId w:val="0"/>
        </w:numPr>
        <w:kinsoku/>
        <w:wordWrap/>
        <w:overflowPunct/>
        <w:topLinePunct w:val="0"/>
        <w:autoSpaceDE/>
        <w:autoSpaceDN/>
        <w:bidi w:val="0"/>
        <w:spacing w:line="560" w:lineRule="exact"/>
        <w:ind w:leftChars="200"/>
        <w:textAlignment w:val="auto"/>
        <w:outlineLvl w:val="2"/>
        <w:rPr>
          <w:rFonts w:hint="default"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（3）自评质量</w:t>
      </w:r>
    </w:p>
    <w:p w14:paraId="6DF70B04">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①自评准确</w:t>
      </w:r>
    </w:p>
    <w:p w14:paraId="59D6A4DC">
      <w:pPr>
        <w:pStyle w:val="4"/>
        <w:pageBreakBefore w:val="0"/>
        <w:wordWrap/>
        <w:overflowPunct/>
        <w:topLinePunct w:val="0"/>
        <w:bidi w:val="0"/>
        <w:spacing w:line="560" w:lineRule="exact"/>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2021年紫竹路小学自评为70分，评价组评分为6</w:t>
      </w:r>
      <w:r>
        <w:rPr>
          <w:rFonts w:hint="eastAsia" w:cs="Times New Roman"/>
          <w:highlight w:val="none"/>
          <w:lang w:val="en-US" w:eastAsia="zh-CN"/>
        </w:rPr>
        <w:t>7</w:t>
      </w:r>
      <w:r>
        <w:rPr>
          <w:rFonts w:hint="eastAsia" w:ascii="Times New Roman" w:hAnsi="Times New Roman" w:cs="Times New Roman"/>
          <w:highlight w:val="none"/>
          <w:lang w:val="en-US" w:eastAsia="zh-CN"/>
        </w:rPr>
        <w:t>.67分，差异为1.33%，自评质量较好。</w:t>
      </w:r>
    </w:p>
    <w:p w14:paraId="78A04F2F">
      <w:pPr>
        <w:pStyle w:val="4"/>
        <w:pageBreakBefore w:val="0"/>
        <w:wordWrap/>
        <w:overflowPunct/>
        <w:topLinePunct w:val="0"/>
        <w:bidi w:val="0"/>
        <w:spacing w:line="560" w:lineRule="exact"/>
        <w:rPr>
          <w:rFonts w:hint="eastAsia" w:ascii="Times New Roman" w:hAnsi="Times New Roman" w:cs="Times New Roman"/>
          <w:highlight w:val="none"/>
          <w:lang w:val="en-US" w:eastAsia="zh-CN"/>
        </w:rPr>
      </w:pPr>
      <w:r>
        <w:rPr>
          <w:rFonts w:hint="eastAsia"/>
          <w:color w:val="000000" w:themeColor="text1"/>
          <w:highlight w:val="none"/>
          <w:lang w:val="en-US" w:eastAsia="zh-CN"/>
          <w14:textFill>
            <w14:solidFill>
              <w14:schemeClr w14:val="tx1"/>
            </w14:solidFill>
          </w14:textFill>
        </w:rPr>
        <w:t>综合上述分析，此项指标分值10分，实际得分10分。</w:t>
      </w:r>
    </w:p>
    <w:p w14:paraId="02640FA3">
      <w:pPr>
        <w:pStyle w:val="3"/>
        <w:pageBreakBefore w:val="0"/>
        <w:numPr>
          <w:ilvl w:val="0"/>
          <w:numId w:val="0"/>
        </w:numPr>
        <w:kinsoku/>
        <w:wordWrap/>
        <w:overflowPunct/>
        <w:topLinePunct w:val="0"/>
        <w:autoSpaceDE/>
        <w:autoSpaceDN/>
        <w:bidi w:val="0"/>
        <w:spacing w:line="560" w:lineRule="exact"/>
        <w:ind w:left="0" w:leftChars="0" w:firstLine="640" w:firstLineChars="200"/>
        <w:outlineLvl w:val="0"/>
        <w:rPr>
          <w:rFonts w:hint="default"/>
          <w:color w:val="auto"/>
          <w:lang w:val="en-US"/>
        </w:rPr>
      </w:pPr>
      <w:bookmarkStart w:id="503" w:name="_Toc3754"/>
      <w:r>
        <w:rPr>
          <w:rFonts w:hint="eastAsia"/>
          <w:color w:val="auto"/>
          <w:lang w:val="en-US" w:eastAsia="zh-CN"/>
        </w:rPr>
        <w:t>七、</w:t>
      </w:r>
      <w:r>
        <w:rPr>
          <w:rFonts w:hint="eastAsia"/>
          <w:color w:val="auto"/>
        </w:rPr>
        <w:t>存在问题</w:t>
      </w:r>
      <w:r>
        <w:rPr>
          <w:rFonts w:hint="eastAsia"/>
          <w:color w:val="auto"/>
          <w:lang w:val="en-US" w:eastAsia="zh-CN"/>
        </w:rPr>
        <w:t>及改进措施</w:t>
      </w:r>
      <w:bookmarkEnd w:id="503"/>
    </w:p>
    <w:p w14:paraId="7D455312">
      <w:pPr>
        <w:pStyle w:val="4"/>
        <w:pageBreakBefore w:val="0"/>
        <w:widowControl w:val="0"/>
        <w:kinsoku/>
        <w:wordWrap/>
        <w:overflowPunct/>
        <w:topLinePunct w:val="0"/>
        <w:autoSpaceDE/>
        <w:autoSpaceDN/>
        <w:bidi w:val="0"/>
        <w:spacing w:line="560" w:lineRule="exact"/>
        <w:ind w:left="0" w:leftChars="0" w:firstLine="643" w:firstLineChars="200"/>
        <w:textAlignment w:val="auto"/>
        <w:outlineLvl w:val="1"/>
        <w:rPr>
          <w:rFonts w:hint="eastAsia" w:ascii="楷体" w:hAnsi="楷体" w:eastAsia="楷体" w:cs="楷体"/>
          <w:b/>
          <w:bCs/>
          <w:color w:val="auto"/>
          <w:lang w:val="en-US" w:eastAsia="zh-CN"/>
        </w:rPr>
      </w:pPr>
      <w:bookmarkStart w:id="504" w:name="_Toc17846"/>
      <w:r>
        <w:rPr>
          <w:rFonts w:hint="eastAsia" w:ascii="楷体" w:hAnsi="楷体" w:eastAsia="楷体" w:cs="楷体"/>
          <w:b/>
          <w:bCs/>
          <w:color w:val="auto"/>
          <w:lang w:val="en-US" w:eastAsia="zh-CN"/>
        </w:rPr>
        <w:t>（一）存在问题及原因分析</w:t>
      </w:r>
      <w:bookmarkEnd w:id="504"/>
    </w:p>
    <w:p w14:paraId="5B4FA548">
      <w:pPr>
        <w:pStyle w:val="4"/>
        <w:pageBreakBefore w:val="0"/>
        <w:widowControl w:val="0"/>
        <w:numPr>
          <w:ilvl w:val="-1"/>
          <w:numId w:val="0"/>
        </w:numPr>
        <w:kinsoku/>
        <w:wordWrap/>
        <w:overflowPunct/>
        <w:topLinePunct w:val="0"/>
        <w:autoSpaceDE/>
        <w:autoSpaceDN/>
        <w:bidi w:val="0"/>
        <w:spacing w:line="560" w:lineRule="exact"/>
        <w:ind w:left="0" w:leftChars="0" w:firstLine="643" w:firstLineChars="200"/>
        <w:textAlignment w:val="auto"/>
        <w:outlineLvl w:val="2"/>
        <w:rPr>
          <w:rFonts w:hint="eastAsia"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1.绩效目标申报不规范</w:t>
      </w:r>
    </w:p>
    <w:p w14:paraId="5B94090D">
      <w:pPr>
        <w:pStyle w:val="4"/>
        <w:pageBreakBefore w:val="0"/>
        <w:wordWrap/>
        <w:overflowPunct/>
        <w:topLinePunct w:val="0"/>
        <w:bidi w:val="0"/>
        <w:spacing w:line="560" w:lineRule="exact"/>
        <w:rPr>
          <w:rFonts w:hint="default" w:ascii="Times New Roman" w:hAnsi="Times New Roman" w:cs="Times New Roman"/>
          <w:highlight w:val="none"/>
          <w:lang w:val="en-US" w:eastAsia="zh-CN"/>
        </w:rPr>
      </w:pPr>
      <w:r>
        <w:rPr>
          <w:rFonts w:hint="eastAsia" w:ascii="Times New Roman" w:hAnsi="Times New Roman" w:cs="Times New Roman"/>
          <w:highlight w:val="none"/>
          <w:lang w:val="en-US" w:eastAsia="zh-CN"/>
        </w:rPr>
        <w:t>经评价组核查，紫竹路小学2021年绩效目标申报不规范，二级指标细化程度较低，不够明确，如：</w:t>
      </w:r>
      <w:r>
        <w:rPr>
          <w:rFonts w:hint="eastAsia" w:ascii="Times New Roman" w:hAnsi="Times New Roman" w:cs="Times New Roman"/>
          <w:color w:val="auto"/>
          <w:lang w:val="en-US" w:eastAsia="zh-CN"/>
        </w:rPr>
        <w:t>二级指标中数量指标</w:t>
      </w:r>
      <w:r>
        <w:rPr>
          <w:rFonts w:hint="eastAsia" w:ascii="Times New Roman" w:hAnsi="Times New Roman" w:cs="Times New Roman"/>
          <w:highlight w:val="none"/>
          <w:lang w:val="en-US" w:eastAsia="zh-CN"/>
        </w:rPr>
        <w:t>“学校办公文具、器材购置 ”的指标值为“教职工办公、学生器材”，指标值不够明确，数量指标未达量化标准，不可衡量，不利于项目绩效目标的跟踪及考核，绩效目标申报不规范。</w:t>
      </w:r>
    </w:p>
    <w:p w14:paraId="6795542A">
      <w:pPr>
        <w:pStyle w:val="4"/>
        <w:pageBreakBefore w:val="0"/>
        <w:widowControl w:val="0"/>
        <w:numPr>
          <w:ilvl w:val="-1"/>
          <w:numId w:val="0"/>
        </w:numPr>
        <w:kinsoku/>
        <w:wordWrap/>
        <w:overflowPunct/>
        <w:topLinePunct w:val="0"/>
        <w:autoSpaceDE/>
        <w:autoSpaceDN/>
        <w:bidi w:val="0"/>
        <w:spacing w:line="560" w:lineRule="exact"/>
        <w:ind w:left="0" w:leftChars="0" w:firstLine="643" w:firstLineChars="200"/>
        <w:textAlignment w:val="auto"/>
        <w:outlineLvl w:val="2"/>
        <w:rPr>
          <w:rFonts w:hint="eastAsia"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2.部门经费收支调整偏差控制情况欠佳</w:t>
      </w:r>
    </w:p>
    <w:p w14:paraId="34BE9AF1">
      <w:pPr>
        <w:pStyle w:val="4"/>
        <w:pageBreakBefore w:val="0"/>
        <w:wordWrap/>
        <w:overflowPunct/>
        <w:topLinePunct w:val="0"/>
        <w:bidi w:val="0"/>
        <w:spacing w:line="560" w:lineRule="exact"/>
        <w:rPr>
          <w:rFonts w:hint="eastAsia"/>
          <w:lang w:val="en-US"/>
        </w:rPr>
      </w:pPr>
      <w:r>
        <w:rPr>
          <w:rFonts w:hint="eastAsia"/>
          <w:lang w:val="en-US" w:eastAsia="zh-CN"/>
        </w:rPr>
        <w:t>经评价组核查，</w:t>
      </w:r>
      <w:r>
        <w:rPr>
          <w:rFonts w:hint="eastAsia"/>
          <w:lang w:val="en-US"/>
        </w:rPr>
        <w:t>202</w:t>
      </w:r>
      <w:r>
        <w:rPr>
          <w:rFonts w:hint="eastAsia"/>
          <w:lang w:val="en-US" w:eastAsia="zh-CN"/>
        </w:rPr>
        <w:t>1</w:t>
      </w:r>
      <w:r>
        <w:rPr>
          <w:rFonts w:hint="eastAsia"/>
          <w:lang w:val="en-US"/>
        </w:rPr>
        <w:t>年</w:t>
      </w:r>
      <w:r>
        <w:rPr>
          <w:rFonts w:hint="eastAsia"/>
          <w:lang w:val="en-US" w:eastAsia="zh-CN"/>
        </w:rPr>
        <w:t>紫竹路小学</w:t>
      </w:r>
      <w:r>
        <w:rPr>
          <w:rFonts w:hint="eastAsia"/>
          <w:lang w:val="en-US"/>
        </w:rPr>
        <w:t>日常公用经费及项目支出中“办公费、印刷费、水费、电费、物业管理费”等科目年初预算数为</w:t>
      </w:r>
      <w:r>
        <w:rPr>
          <w:rFonts w:hint="eastAsia"/>
          <w:color w:val="000000" w:themeColor="text1"/>
          <w:highlight w:val="none"/>
          <w:lang w:val="en-US" w:eastAsia="zh-CN"/>
          <w14:textFill>
            <w14:solidFill>
              <w14:schemeClr w14:val="tx1"/>
            </w14:solidFill>
          </w14:textFill>
        </w:rPr>
        <w:t>42.95</w:t>
      </w:r>
      <w:r>
        <w:rPr>
          <w:rFonts w:hint="eastAsia"/>
          <w:lang w:val="en-US"/>
        </w:rPr>
        <w:t>万元，</w:t>
      </w:r>
      <w:r>
        <w:rPr>
          <w:rFonts w:hint="eastAsia"/>
          <w:color w:val="000000" w:themeColor="text1"/>
          <w:highlight w:val="none"/>
          <w:lang w:val="en-US" w:eastAsia="zh-CN"/>
          <w14:textFill>
            <w14:solidFill>
              <w14:schemeClr w14:val="tx1"/>
            </w14:solidFill>
          </w14:textFill>
        </w:rPr>
        <w:t>149.01</w:t>
      </w:r>
      <w:r>
        <w:rPr>
          <w:rFonts w:hint="eastAsia"/>
          <w:color w:val="000000" w:themeColor="text1"/>
          <w:highlight w:val="none"/>
          <w:lang w:val="en-US"/>
          <w14:textFill>
            <w14:solidFill>
              <w14:schemeClr w14:val="tx1"/>
            </w14:solidFill>
          </w14:textFill>
        </w:rPr>
        <w:t>万元，预决算偏差程度为</w:t>
      </w:r>
      <w:r>
        <w:rPr>
          <w:rFonts w:hint="eastAsia"/>
          <w:color w:val="000000" w:themeColor="text1"/>
          <w:highlight w:val="none"/>
          <w:lang w:val="en-US" w:eastAsia="zh-CN"/>
          <w14:textFill>
            <w14:solidFill>
              <w14:schemeClr w14:val="tx1"/>
            </w14:solidFill>
          </w14:textFill>
        </w:rPr>
        <w:t>247</w:t>
      </w:r>
      <w:r>
        <w:rPr>
          <w:rFonts w:hint="eastAsia"/>
          <w:color w:val="000000" w:themeColor="text1"/>
          <w:highlight w:val="none"/>
          <w:lang w:val="en-US"/>
          <w14:textFill>
            <w14:solidFill>
              <w14:schemeClr w14:val="tx1"/>
            </w14:solidFill>
          </w14:textFill>
        </w:rPr>
        <w:t>%，偏差程度</w:t>
      </w:r>
      <w:r>
        <w:rPr>
          <w:rFonts w:hint="eastAsia"/>
          <w:color w:val="000000" w:themeColor="text1"/>
          <w:highlight w:val="none"/>
          <w:lang w:val="en-US" w:eastAsia="zh-CN"/>
          <w14:textFill>
            <w14:solidFill>
              <w14:schemeClr w14:val="tx1"/>
            </w14:solidFill>
          </w14:textFill>
        </w:rPr>
        <w:t>超过20%，</w:t>
      </w:r>
      <w:r>
        <w:rPr>
          <w:rFonts w:hint="eastAsia"/>
          <w:lang w:val="en-US"/>
        </w:rPr>
        <w:t>公用经费支出控制</w:t>
      </w:r>
      <w:r>
        <w:rPr>
          <w:rFonts w:hint="eastAsia"/>
          <w:lang w:val="en-US" w:eastAsia="zh-CN"/>
        </w:rPr>
        <w:t>有待加强</w:t>
      </w:r>
      <w:r>
        <w:rPr>
          <w:rFonts w:hint="eastAsia"/>
          <w:lang w:val="en-US"/>
        </w:rPr>
        <w:t>。</w:t>
      </w:r>
    </w:p>
    <w:p w14:paraId="0B64F439">
      <w:pPr>
        <w:pStyle w:val="4"/>
        <w:pageBreakBefore w:val="0"/>
        <w:wordWrap/>
        <w:overflowPunct/>
        <w:topLinePunct w:val="0"/>
        <w:bidi w:val="0"/>
        <w:spacing w:line="560" w:lineRule="exact"/>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14:textFill>
            <w14:solidFill>
              <w14:schemeClr w14:val="tx1"/>
            </w14:solidFill>
          </w14:textFill>
        </w:rPr>
        <w:t>单位202</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lang w:val="en-US"/>
          <w14:textFill>
            <w14:solidFill>
              <w14:schemeClr w14:val="tx1"/>
            </w14:solidFill>
          </w14:textFill>
        </w:rPr>
        <w:t>年预算数为705.65万元，</w:t>
      </w:r>
      <w:r>
        <w:rPr>
          <w:rFonts w:hint="eastAsia"/>
          <w:color w:val="000000" w:themeColor="text1"/>
          <w:highlight w:val="none"/>
          <w:lang w:val="en-US" w:eastAsia="zh-CN"/>
          <w14:textFill>
            <w14:solidFill>
              <w14:schemeClr w14:val="tx1"/>
            </w14:solidFill>
          </w14:textFill>
        </w:rPr>
        <w:t>调整预算为1,016.6万元，偏差程度为44.07%，偏差率较大，预算编制不准确。</w:t>
      </w:r>
    </w:p>
    <w:p w14:paraId="6B4050B0">
      <w:pPr>
        <w:pStyle w:val="4"/>
        <w:pageBreakBefore w:val="0"/>
        <w:widowControl w:val="0"/>
        <w:numPr>
          <w:ilvl w:val="-1"/>
          <w:numId w:val="0"/>
        </w:numPr>
        <w:kinsoku/>
        <w:wordWrap/>
        <w:overflowPunct/>
        <w:topLinePunct w:val="0"/>
        <w:autoSpaceDE/>
        <w:autoSpaceDN/>
        <w:bidi w:val="0"/>
        <w:spacing w:line="560" w:lineRule="exact"/>
        <w:ind w:left="0" w:leftChars="0" w:firstLine="643" w:firstLineChars="200"/>
        <w:textAlignment w:val="auto"/>
        <w:outlineLvl w:val="2"/>
        <w:rPr>
          <w:rFonts w:hint="eastAsia"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3.部门会计账务处理工作有待加强</w:t>
      </w:r>
    </w:p>
    <w:p w14:paraId="14094ECB">
      <w:pPr>
        <w:pStyle w:val="4"/>
        <w:pageBreakBefore w:val="0"/>
        <w:wordWrap/>
        <w:overflowPunct/>
        <w:topLinePunct w:val="0"/>
        <w:bidi w:val="0"/>
        <w:spacing w:line="560" w:lineRule="exact"/>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（1）单位食堂采购的2020年12月2号询价表中，精瘦肉价格为25.82元/斤，约定实际购买价格不得超过询价的10%，实际购买价格为28元/斤、30元/斤或31元/斤，超过10%。</w:t>
      </w:r>
      <w:r>
        <w:rPr>
          <w:rFonts w:hint="default"/>
          <w:color w:val="000000" w:themeColor="text1"/>
          <w:highlight w:val="none"/>
          <w:lang w:val="en-US" w:eastAsia="zh-CN"/>
          <w14:textFill>
            <w14:solidFill>
              <w14:schemeClr w14:val="tx1"/>
            </w14:solidFill>
          </w14:textFill>
        </w:rPr>
        <w:t>涉及金额</w:t>
      </w:r>
      <w:r>
        <w:rPr>
          <w:rFonts w:hint="eastAsia"/>
          <w:color w:val="000000" w:themeColor="text1"/>
          <w:highlight w:val="none"/>
          <w:lang w:val="en-US" w:eastAsia="zh-CN"/>
          <w14:textFill>
            <w14:solidFill>
              <w14:schemeClr w14:val="tx1"/>
            </w14:solidFill>
          </w14:textFill>
        </w:rPr>
        <w:t>16,730</w:t>
      </w:r>
      <w:r>
        <w:rPr>
          <w:rFonts w:hint="default"/>
          <w:color w:val="000000" w:themeColor="text1"/>
          <w:highlight w:val="none"/>
          <w:lang w:val="en-US" w:eastAsia="zh-CN"/>
          <w14:textFill>
            <w14:solidFill>
              <w14:schemeClr w14:val="tx1"/>
            </w14:solidFill>
          </w14:textFill>
        </w:rPr>
        <w:t>.00元</w:t>
      </w:r>
      <w:r>
        <w:rPr>
          <w:rFonts w:hint="eastAsia"/>
          <w:color w:val="000000" w:themeColor="text1"/>
          <w:highlight w:val="none"/>
          <w:lang w:val="en-US" w:eastAsia="zh-CN"/>
          <w14:textFill>
            <w14:solidFill>
              <w14:schemeClr w14:val="tx1"/>
            </w14:solidFill>
          </w14:textFill>
        </w:rPr>
        <w:t>，</w:t>
      </w:r>
      <w:r>
        <w:rPr>
          <w:rFonts w:hint="default"/>
          <w:color w:val="000000" w:themeColor="text1"/>
          <w:highlight w:val="none"/>
          <w:lang w:val="en-US" w:eastAsia="zh-CN"/>
          <w14:textFill>
            <w14:solidFill>
              <w14:schemeClr w14:val="tx1"/>
            </w14:solidFill>
          </w14:textFill>
        </w:rPr>
        <w:t>涉及凭证</w:t>
      </w:r>
      <w:r>
        <w:rPr>
          <w:rFonts w:hint="eastAsia"/>
          <w:color w:val="000000" w:themeColor="text1"/>
          <w:highlight w:val="none"/>
          <w:lang w:val="en-US" w:eastAsia="zh-CN"/>
          <w14:textFill>
            <w14:solidFill>
              <w14:schemeClr w14:val="tx1"/>
            </w14:solidFill>
          </w14:textFill>
        </w:rPr>
        <w:t>为</w:t>
      </w:r>
      <w:r>
        <w:rPr>
          <w:rFonts w:hint="default"/>
          <w:color w:val="000000" w:themeColor="text1"/>
          <w:highlight w:val="none"/>
          <w:lang w:val="en-US" w:eastAsia="zh-CN"/>
          <w14:textFill>
            <w14:solidFill>
              <w14:schemeClr w14:val="tx1"/>
            </w14:solidFill>
          </w14:textFill>
        </w:rPr>
        <w:t>202</w:t>
      </w:r>
      <w:r>
        <w:rPr>
          <w:rFonts w:hint="eastAsia"/>
          <w:color w:val="000000" w:themeColor="text1"/>
          <w:highlight w:val="none"/>
          <w:lang w:val="en-US" w:eastAsia="zh-CN"/>
          <w14:textFill>
            <w14:solidFill>
              <w14:schemeClr w14:val="tx1"/>
            </w14:solidFill>
          </w14:textFill>
        </w:rPr>
        <w:t>1</w:t>
      </w:r>
      <w:r>
        <w:rPr>
          <w:rFonts w:hint="default"/>
          <w:color w:val="000000" w:themeColor="text1"/>
          <w:highlight w:val="none"/>
          <w:lang w:val="en-US" w:eastAsia="zh-CN"/>
          <w14:textFill>
            <w14:solidFill>
              <w14:schemeClr w14:val="tx1"/>
            </w14:solidFill>
          </w14:textFill>
        </w:rPr>
        <w:t>年1月</w:t>
      </w:r>
      <w:r>
        <w:rPr>
          <w:rFonts w:hint="eastAsia"/>
          <w:color w:val="000000" w:themeColor="text1"/>
          <w:highlight w:val="none"/>
          <w:lang w:val="en-US" w:eastAsia="zh-CN"/>
          <w14:textFill>
            <w14:solidFill>
              <w14:schemeClr w14:val="tx1"/>
            </w14:solidFill>
          </w14:textFill>
        </w:rPr>
        <w:t>第11</w:t>
      </w:r>
      <w:r>
        <w:rPr>
          <w:rFonts w:hint="default"/>
          <w:color w:val="000000" w:themeColor="text1"/>
          <w:highlight w:val="none"/>
          <w:lang w:val="en-US" w:eastAsia="zh-CN"/>
          <w14:textFill>
            <w14:solidFill>
              <w14:schemeClr w14:val="tx1"/>
            </w14:solidFill>
          </w14:textFill>
        </w:rPr>
        <w:t>号</w:t>
      </w:r>
      <w:r>
        <w:rPr>
          <w:rFonts w:hint="eastAsia"/>
          <w:color w:val="000000" w:themeColor="text1"/>
          <w:highlight w:val="none"/>
          <w:lang w:val="en-US" w:eastAsia="zh-CN"/>
          <w14:textFill>
            <w14:solidFill>
              <w14:schemeClr w14:val="tx1"/>
            </w14:solidFill>
          </w14:textFill>
        </w:rPr>
        <w:t>；</w:t>
      </w:r>
    </w:p>
    <w:p w14:paraId="0C116E7C">
      <w:pPr>
        <w:pStyle w:val="4"/>
        <w:pageBreakBefore w:val="0"/>
        <w:wordWrap/>
        <w:overflowPunct/>
        <w:topLinePunct w:val="0"/>
        <w:bidi w:val="0"/>
        <w:spacing w:line="560" w:lineRule="exact"/>
        <w:rPr>
          <w:rFonts w:hint="eastAsia" w:ascii="Times New Roman" w:hAnsi="Times New Roman" w:cs="Times New Roman"/>
          <w:color w:val="000000" w:themeColor="text1"/>
          <w:highlight w:val="none"/>
          <w:lang w:val="en-US" w:eastAsia="zh-CN"/>
          <w14:textFill>
            <w14:solidFill>
              <w14:schemeClr w14:val="tx1"/>
            </w14:solidFill>
          </w14:textFill>
        </w:rPr>
      </w:pPr>
      <w:r>
        <w:rPr>
          <w:rFonts w:hint="eastAsia" w:ascii="Times New Roman" w:hAnsi="Times New Roman" w:cs="Times New Roman"/>
          <w:color w:val="000000" w:themeColor="text1"/>
          <w:highlight w:val="none"/>
          <w:lang w:val="en-US" w:eastAsia="zh-CN"/>
          <w14:textFill>
            <w14:solidFill>
              <w14:schemeClr w14:val="tx1"/>
            </w14:solidFill>
          </w14:textFill>
        </w:rPr>
        <w:t>（2）将艺术节评审费计入事业支出其他资金支出-基本支出-日常公用经费，</w:t>
      </w:r>
      <w:r>
        <w:rPr>
          <w:rFonts w:hint="default" w:ascii="Times New Roman" w:hAnsi="Times New Roman" w:cs="Times New Roman"/>
          <w:color w:val="000000" w:themeColor="text1"/>
          <w:highlight w:val="none"/>
          <w:lang w:val="en-US" w:eastAsia="zh-CN"/>
          <w14:textFill>
            <w14:solidFill>
              <w14:schemeClr w14:val="tx1"/>
            </w14:solidFill>
          </w14:textFill>
        </w:rPr>
        <w:t>涉及金额1,</w:t>
      </w:r>
      <w:r>
        <w:rPr>
          <w:rFonts w:hint="eastAsia" w:ascii="Times New Roman" w:hAnsi="Times New Roman" w:cs="Times New Roman"/>
          <w:color w:val="000000" w:themeColor="text1"/>
          <w:highlight w:val="none"/>
          <w:lang w:val="en-US" w:eastAsia="zh-CN"/>
          <w14:textFill>
            <w14:solidFill>
              <w14:schemeClr w14:val="tx1"/>
            </w14:solidFill>
          </w14:textFill>
        </w:rPr>
        <w:t>663.00</w:t>
      </w:r>
      <w:r>
        <w:rPr>
          <w:rFonts w:hint="default" w:ascii="Times New Roman" w:hAnsi="Times New Roman" w:cs="Times New Roman"/>
          <w:color w:val="000000" w:themeColor="text1"/>
          <w:highlight w:val="none"/>
          <w:lang w:val="en-US" w:eastAsia="zh-CN"/>
          <w14:textFill>
            <w14:solidFill>
              <w14:schemeClr w14:val="tx1"/>
            </w14:solidFill>
          </w14:textFill>
        </w:rPr>
        <w:t>元</w:t>
      </w:r>
      <w:r>
        <w:rPr>
          <w:rFonts w:hint="eastAsia" w:ascii="Times New Roman" w:hAnsi="Times New Roman"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涉及的凭证为</w:t>
      </w:r>
      <w:r>
        <w:rPr>
          <w:rFonts w:hint="eastAsia" w:ascii="Times New Roman" w:hAnsi="Times New Roman" w:cs="Times New Roman"/>
          <w:color w:val="000000" w:themeColor="text1"/>
          <w:highlight w:val="none"/>
          <w:lang w:val="en-US" w:eastAsia="zh-CN"/>
          <w14:textFill>
            <w14:solidFill>
              <w14:schemeClr w14:val="tx1"/>
            </w14:solidFill>
          </w14:textFill>
        </w:rPr>
        <w:t>2021年6月第9号</w:t>
      </w:r>
      <w:r>
        <w:rPr>
          <w:rFonts w:hint="eastAsia" w:cs="Times New Roman"/>
          <w:color w:val="000000" w:themeColor="text1"/>
          <w:highlight w:val="none"/>
          <w:lang w:val="en-US" w:eastAsia="zh-CN"/>
          <w14:textFill>
            <w14:solidFill>
              <w14:schemeClr w14:val="tx1"/>
            </w14:solidFill>
          </w14:textFill>
        </w:rPr>
        <w:t>；</w:t>
      </w:r>
    </w:p>
    <w:p w14:paraId="115B9F8D">
      <w:pPr>
        <w:pStyle w:val="4"/>
        <w:pageBreakBefore w:val="0"/>
        <w:wordWrap/>
        <w:overflowPunct/>
        <w:topLinePunct w:val="0"/>
        <w:bidi w:val="0"/>
        <w:spacing w:line="560" w:lineRule="exact"/>
        <w:rPr>
          <w:rFonts w:hint="default" w:ascii="Times New Roman" w:hAnsi="Times New Roman" w:cs="Times New Roman"/>
          <w:color w:val="000000" w:themeColor="text1"/>
          <w:highlight w:val="none"/>
          <w:lang w:val="en-US" w:eastAsia="zh-CN"/>
          <w14:textFill>
            <w14:solidFill>
              <w14:schemeClr w14:val="tx1"/>
            </w14:solidFill>
          </w14:textFill>
        </w:rPr>
      </w:pPr>
      <w:r>
        <w:rPr>
          <w:rFonts w:hint="eastAsia" w:ascii="Times New Roman" w:hAnsi="Times New Roman" w:cs="Times New Roman"/>
          <w:color w:val="000000" w:themeColor="text1"/>
          <w:highlight w:val="none"/>
          <w:lang w:val="en-US" w:eastAsia="zh-CN"/>
          <w14:textFill>
            <w14:solidFill>
              <w14:schemeClr w14:val="tx1"/>
            </w14:solidFill>
          </w14:textFill>
        </w:rPr>
        <w:t>（3）单位于2021年9月18日付中小学生人文素养及影视戏剧教育款，</w:t>
      </w:r>
      <w:r>
        <w:rPr>
          <w:rFonts w:hint="eastAsia" w:cs="Times New Roman"/>
          <w:color w:val="000000" w:themeColor="text1"/>
          <w:highlight w:val="none"/>
          <w:lang w:val="en-US" w:eastAsia="zh-CN"/>
          <w14:textFill>
            <w14:solidFill>
              <w14:schemeClr w14:val="tx1"/>
            </w14:solidFill>
          </w14:textFill>
        </w:rPr>
        <w:t>但</w:t>
      </w:r>
      <w:r>
        <w:rPr>
          <w:rFonts w:hint="eastAsia" w:ascii="Times New Roman" w:hAnsi="Times New Roman" w:cs="Times New Roman"/>
          <w:color w:val="000000" w:themeColor="text1"/>
          <w:highlight w:val="none"/>
          <w:lang w:val="en-US" w:eastAsia="zh-CN"/>
          <w14:textFill>
            <w14:solidFill>
              <w14:schemeClr w14:val="tx1"/>
            </w14:solidFill>
          </w14:textFill>
        </w:rPr>
        <w:t>开票时间为11月29日。涉及金额1,5920.00元，涉及凭证为2021年9月</w:t>
      </w:r>
      <w:r>
        <w:rPr>
          <w:rFonts w:hint="eastAsia" w:cs="Times New Roman"/>
          <w:color w:val="000000" w:themeColor="text1"/>
          <w:highlight w:val="none"/>
          <w:lang w:val="en-US" w:eastAsia="zh-CN"/>
          <w14:textFill>
            <w14:solidFill>
              <w14:schemeClr w14:val="tx1"/>
            </w14:solidFill>
          </w14:textFill>
        </w:rPr>
        <w:t>第</w:t>
      </w:r>
      <w:r>
        <w:rPr>
          <w:rFonts w:hint="eastAsia" w:ascii="Times New Roman" w:hAnsi="Times New Roman" w:cs="Times New Roman"/>
          <w:color w:val="000000" w:themeColor="text1"/>
          <w:highlight w:val="none"/>
          <w:lang w:val="en-US" w:eastAsia="zh-CN"/>
          <w14:textFill>
            <w14:solidFill>
              <w14:schemeClr w14:val="tx1"/>
            </w14:solidFill>
          </w14:textFill>
        </w:rPr>
        <w:t>12号。</w:t>
      </w:r>
    </w:p>
    <w:p w14:paraId="31A91B19">
      <w:pPr>
        <w:pStyle w:val="4"/>
        <w:keepNext w:val="0"/>
        <w:keepLines w:val="0"/>
        <w:pageBreakBefore w:val="0"/>
        <w:widowControl w:val="0"/>
        <w:kinsoku/>
        <w:wordWrap/>
        <w:overflowPunct/>
        <w:topLinePunct w:val="0"/>
        <w:autoSpaceDE/>
        <w:autoSpaceDN/>
        <w:bidi w:val="0"/>
        <w:adjustRightInd w:val="0"/>
        <w:spacing w:line="560" w:lineRule="exact"/>
        <w:ind w:left="0" w:leftChars="0" w:firstLine="643" w:firstLineChars="200"/>
        <w:textAlignment w:val="auto"/>
        <w:outlineLvl w:val="1"/>
        <w:rPr>
          <w:rFonts w:hint="eastAsia" w:ascii="楷体" w:hAnsi="楷体" w:eastAsia="楷体" w:cs="楷体"/>
          <w:b/>
          <w:bCs/>
          <w:color w:val="auto"/>
          <w:lang w:val="en-US" w:eastAsia="zh-CN"/>
        </w:rPr>
      </w:pPr>
      <w:bookmarkStart w:id="505" w:name="_Toc21880"/>
      <w:r>
        <w:rPr>
          <w:rFonts w:hint="eastAsia" w:ascii="楷体" w:hAnsi="楷体" w:eastAsia="楷体" w:cs="楷体"/>
          <w:b/>
          <w:bCs/>
          <w:color w:val="auto"/>
          <w:lang w:eastAsia="zh-CN"/>
        </w:rPr>
        <w:t>（</w:t>
      </w:r>
      <w:r>
        <w:rPr>
          <w:rFonts w:hint="eastAsia" w:ascii="楷体" w:hAnsi="楷体" w:eastAsia="楷体" w:cs="楷体"/>
          <w:b/>
          <w:bCs/>
          <w:color w:val="auto"/>
          <w:lang w:val="en-US" w:eastAsia="zh-CN"/>
        </w:rPr>
        <w:t>二</w:t>
      </w:r>
      <w:r>
        <w:rPr>
          <w:rFonts w:hint="eastAsia" w:ascii="楷体" w:hAnsi="楷体" w:eastAsia="楷体" w:cs="楷体"/>
          <w:b/>
          <w:bCs/>
          <w:color w:val="auto"/>
          <w:lang w:eastAsia="zh-CN"/>
        </w:rPr>
        <w:t>）</w:t>
      </w:r>
      <w:r>
        <w:rPr>
          <w:rFonts w:hint="eastAsia" w:ascii="楷体" w:hAnsi="楷体" w:eastAsia="楷体" w:cs="楷体"/>
          <w:b/>
          <w:bCs/>
          <w:color w:val="auto"/>
          <w:lang w:val="en-US" w:eastAsia="zh-CN"/>
        </w:rPr>
        <w:t>改进方向和具体措施</w:t>
      </w:r>
      <w:bookmarkEnd w:id="505"/>
    </w:p>
    <w:p w14:paraId="213C25A5">
      <w:pPr>
        <w:keepNext w:val="0"/>
        <w:keepLines w:val="0"/>
        <w:pageBreakBefore w:val="0"/>
        <w:kinsoku/>
        <w:wordWrap/>
        <w:overflowPunct/>
        <w:topLinePunct w:val="0"/>
        <w:autoSpaceDE/>
        <w:autoSpaceDN/>
        <w:bidi w:val="0"/>
        <w:adjustRightInd w:val="0"/>
        <w:snapToGrid/>
        <w:spacing w:line="560" w:lineRule="exact"/>
        <w:ind w:firstLine="643" w:firstLineChars="200"/>
        <w:outlineLvl w:val="2"/>
        <w:rPr>
          <w:rFonts w:hint="eastAsia" w:ascii="仿宋" w:hAnsi="仿宋" w:eastAsia="仿宋" w:cs="仿宋"/>
          <w:b/>
          <w:color w:val="auto"/>
          <w:sz w:val="32"/>
          <w:szCs w:val="32"/>
          <w:lang w:val="en-US" w:eastAsia="zh-CN"/>
        </w:rPr>
      </w:pPr>
      <w:r>
        <w:rPr>
          <w:rFonts w:hint="eastAsia" w:ascii="仿宋" w:hAnsi="仿宋" w:eastAsia="仿宋" w:cs="仿宋"/>
          <w:b/>
          <w:color w:val="auto"/>
          <w:sz w:val="32"/>
          <w:szCs w:val="32"/>
          <w:lang w:val="en-US" w:eastAsia="zh-CN"/>
        </w:rPr>
        <w:t>1.规范绩效管理体系，制定清晰合理的“数量指标”</w:t>
      </w:r>
    </w:p>
    <w:p w14:paraId="65F5D1CF">
      <w:pPr>
        <w:pStyle w:val="4"/>
        <w:keepNext w:val="0"/>
        <w:keepLines w:val="0"/>
        <w:pageBreakBefore w:val="0"/>
        <w:widowControl w:val="0"/>
        <w:kinsoku/>
        <w:wordWrap/>
        <w:overflowPunct/>
        <w:topLinePunct w:val="0"/>
        <w:autoSpaceDE/>
        <w:autoSpaceDN/>
        <w:bidi w:val="0"/>
        <w:adjustRightInd w:val="0"/>
        <w:spacing w:line="560" w:lineRule="exact"/>
        <w:ind w:firstLine="640" w:firstLineChars="20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建议单位加强相关人员绩效管理知识及技能培训，规范目标编制行为。围绕职能职责、重点工作任务，参考以前年度工作经验，全面梳理项目绩效指标，完善各项工作在完成质量、完成数量、完成进度、完成效果等方面的指标，构建以量化指标、可衡量指标为主的绩效指标体系，并注意规范指标名称、科学定义指标内容，如：二级指标中数量指标</w:t>
      </w:r>
      <w:r>
        <w:rPr>
          <w:rFonts w:hint="eastAsia" w:ascii="Times New Roman" w:hAnsi="Times New Roman" w:cs="Times New Roman"/>
          <w:highlight w:val="none"/>
          <w:lang w:val="en-US" w:eastAsia="zh-CN"/>
        </w:rPr>
        <w:t>“学校办公文具、器材购置 ”的指标值可设置为“采购学校办公文具、器材xx套”</w:t>
      </w:r>
      <w:r>
        <w:rPr>
          <w:rFonts w:hint="eastAsia" w:ascii="Times New Roman" w:hAnsi="Times New Roman" w:cs="Times New Roman"/>
          <w:color w:val="auto"/>
          <w:lang w:val="en-US" w:eastAsia="zh-CN"/>
        </w:rPr>
        <w:t>，明确指标值内容，规范年度预算绩效目标申报工作，推动全过程预算绩效管理上台阶。</w:t>
      </w:r>
    </w:p>
    <w:p w14:paraId="7310DAAF">
      <w:pPr>
        <w:keepNext w:val="0"/>
        <w:keepLines w:val="0"/>
        <w:pageBreakBefore w:val="0"/>
        <w:kinsoku/>
        <w:wordWrap/>
        <w:overflowPunct/>
        <w:topLinePunct w:val="0"/>
        <w:autoSpaceDE/>
        <w:autoSpaceDN/>
        <w:bidi w:val="0"/>
        <w:adjustRightInd w:val="0"/>
        <w:snapToGrid/>
        <w:spacing w:line="560" w:lineRule="exact"/>
        <w:ind w:firstLine="643" w:firstLineChars="200"/>
        <w:outlineLvl w:val="2"/>
        <w:rPr>
          <w:rFonts w:hint="eastAsia" w:ascii="仿宋" w:hAnsi="仿宋" w:eastAsia="仿宋" w:cs="仿宋"/>
          <w:b/>
          <w:color w:val="auto"/>
          <w:sz w:val="32"/>
          <w:szCs w:val="32"/>
          <w:lang w:val="en-US" w:eastAsia="zh-CN"/>
        </w:rPr>
      </w:pPr>
      <w:r>
        <w:rPr>
          <w:rFonts w:hint="eastAsia" w:ascii="仿宋" w:hAnsi="仿宋" w:eastAsia="仿宋" w:cs="仿宋"/>
          <w:b/>
          <w:color w:val="auto"/>
          <w:sz w:val="32"/>
          <w:szCs w:val="32"/>
          <w:lang w:val="en-US" w:eastAsia="zh-CN"/>
        </w:rPr>
        <w:t>2.科学测算部门预算经费，加强部门经费收支偏差控制</w:t>
      </w:r>
    </w:p>
    <w:p w14:paraId="55EC1A66">
      <w:pPr>
        <w:pStyle w:val="4"/>
        <w:keepNext w:val="0"/>
        <w:keepLines w:val="0"/>
        <w:pageBreakBefore w:val="0"/>
        <w:widowControl w:val="0"/>
        <w:kinsoku/>
        <w:wordWrap/>
        <w:overflowPunct/>
        <w:topLinePunct w:val="0"/>
        <w:autoSpaceDE/>
        <w:autoSpaceDN/>
        <w:bidi w:val="0"/>
        <w:adjustRightInd w:val="0"/>
        <w:spacing w:line="560" w:lineRule="exact"/>
        <w:ind w:firstLine="640" w:firstLineChars="200"/>
        <w:textAlignment w:val="auto"/>
        <w:rPr>
          <w:rFonts w:hint="eastAsia"/>
          <w:color w:val="auto"/>
          <w:lang w:val="en-US" w:eastAsia="zh-CN"/>
        </w:rPr>
      </w:pPr>
      <w:r>
        <w:rPr>
          <w:rFonts w:hint="eastAsia"/>
          <w:color w:val="auto"/>
        </w:rPr>
        <w:t>建议</w:t>
      </w:r>
      <w:r>
        <w:rPr>
          <w:rFonts w:hint="eastAsia"/>
          <w:color w:val="auto"/>
          <w:lang w:val="en-US" w:eastAsia="zh-CN"/>
        </w:rPr>
        <w:t>紫竹路小学预算部门在下一年编制项目预算时，除参考上一年支出明细，应全面考虑编制的预算明细按，以免预算中子项目不发生支出或支出过高的情况，合理测算当年度资金的实际需要总额，切实提高财政预算编制合理性。</w:t>
      </w:r>
    </w:p>
    <w:p w14:paraId="514DEE6F">
      <w:pPr>
        <w:keepNext w:val="0"/>
        <w:keepLines w:val="0"/>
        <w:pageBreakBefore w:val="0"/>
        <w:kinsoku/>
        <w:wordWrap/>
        <w:overflowPunct/>
        <w:topLinePunct w:val="0"/>
        <w:autoSpaceDE/>
        <w:autoSpaceDN/>
        <w:bidi w:val="0"/>
        <w:adjustRightInd w:val="0"/>
        <w:snapToGrid/>
        <w:spacing w:line="560" w:lineRule="exact"/>
        <w:ind w:firstLine="643" w:firstLineChars="200"/>
        <w:outlineLvl w:val="2"/>
        <w:rPr>
          <w:rFonts w:hint="default" w:ascii="仿宋" w:hAnsi="仿宋" w:eastAsia="仿宋" w:cs="仿宋"/>
          <w:b/>
          <w:color w:val="auto"/>
          <w:sz w:val="32"/>
          <w:szCs w:val="32"/>
          <w:lang w:val="en-US" w:eastAsia="zh-CN"/>
        </w:rPr>
      </w:pPr>
      <w:r>
        <w:rPr>
          <w:rFonts w:hint="eastAsia" w:ascii="仿宋" w:hAnsi="仿宋" w:eastAsia="仿宋" w:cs="仿宋"/>
          <w:b/>
          <w:color w:val="auto"/>
          <w:sz w:val="32"/>
          <w:szCs w:val="32"/>
          <w:lang w:val="en-US" w:eastAsia="zh-CN"/>
        </w:rPr>
        <w:t>3.规范日常账务处理相关事务</w:t>
      </w:r>
    </w:p>
    <w:p w14:paraId="4C102A9A">
      <w:pPr>
        <w:pStyle w:val="4"/>
        <w:keepNext w:val="0"/>
        <w:keepLines w:val="0"/>
        <w:pageBreakBefore w:val="0"/>
        <w:widowControl w:val="0"/>
        <w:kinsoku/>
        <w:wordWrap/>
        <w:overflowPunct/>
        <w:topLinePunct w:val="0"/>
        <w:autoSpaceDE/>
        <w:autoSpaceDN/>
        <w:bidi w:val="0"/>
        <w:adjustRightInd w:val="0"/>
        <w:spacing w:line="560" w:lineRule="exact"/>
        <w:ind w:firstLine="640" w:firstLineChars="200"/>
        <w:textAlignment w:val="auto"/>
        <w:rPr>
          <w:rFonts w:hint="eastAsia"/>
          <w:color w:val="auto"/>
          <w:lang w:val="en-US" w:eastAsia="zh-CN"/>
        </w:rPr>
        <w:sectPr>
          <w:pgSz w:w="11906" w:h="16838"/>
          <w:pgMar w:top="1440" w:right="1489" w:bottom="1440" w:left="1797" w:header="851" w:footer="992" w:gutter="0"/>
          <w:pgNumType w:start="1"/>
          <w:cols w:space="425" w:num="1"/>
          <w:docGrid w:type="lines" w:linePitch="312" w:charSpace="0"/>
        </w:sectPr>
      </w:pPr>
      <w:r>
        <w:rPr>
          <w:rFonts w:hint="eastAsia"/>
          <w:color w:val="auto"/>
          <w:lang w:val="en-US" w:eastAsia="zh-CN"/>
        </w:rPr>
        <w:t>建议单位加强规范会计人员日常账务处理基础工作，会计人员要充分认识会计基础工作的重要性，认真学习《会计基础工作规范》和《会计法》的各项规定；加强会计核算，如原始凭证的格式、内容、填制方法、审核程序等符合制度规定的要求;记账凭证内容、填制方法、所附原始凭证、更正错误的方法等符合会计制度要求，并经有关责任人员签章；加大监督检查力度，如将会计基础管理工作列入日常及专项检查的重要内容，实行连带责任追究制，增强责任意识，使会计工作更加规范化、制度化管理。</w:t>
      </w:r>
    </w:p>
    <w:p w14:paraId="610BB379">
      <w:pPr>
        <w:pStyle w:val="4"/>
        <w:pageBreakBefore w:val="0"/>
        <w:widowControl w:val="0"/>
        <w:numPr>
          <w:ilvl w:val="0"/>
          <w:numId w:val="0"/>
        </w:numPr>
        <w:kinsoku/>
        <w:wordWrap/>
        <w:overflowPunct/>
        <w:topLinePunct w:val="0"/>
        <w:autoSpaceDE/>
        <w:autoSpaceDN/>
        <w:bidi w:val="0"/>
        <w:spacing w:line="560" w:lineRule="exact"/>
        <w:ind w:firstLine="643" w:firstLineChars="200"/>
        <w:textAlignment w:val="auto"/>
        <w:outlineLvl w:val="0"/>
        <w:rPr>
          <w:rFonts w:hint="default" w:ascii="仿宋" w:hAnsi="仿宋" w:eastAsia="仿宋" w:cs="仿宋"/>
          <w:b/>
          <w:color w:val="auto"/>
          <w:kern w:val="2"/>
          <w:sz w:val="32"/>
          <w:szCs w:val="32"/>
          <w:lang w:val="en-US" w:eastAsia="zh-CN" w:bidi="ar-SA"/>
        </w:rPr>
      </w:pPr>
      <w:bookmarkStart w:id="506" w:name="_Toc16110"/>
      <w:r>
        <w:rPr>
          <w:rFonts w:hint="eastAsia" w:ascii="仿宋" w:hAnsi="仿宋" w:eastAsia="仿宋" w:cs="仿宋"/>
          <w:b/>
          <w:color w:val="auto"/>
          <w:kern w:val="2"/>
          <w:sz w:val="32"/>
          <w:szCs w:val="32"/>
          <w:lang w:val="en-US" w:eastAsia="zh-CN" w:bidi="ar-SA"/>
        </w:rPr>
        <w:t>附件1</w:t>
      </w:r>
      <w:r>
        <w:rPr>
          <w:rFonts w:hint="default" w:ascii="方正小标宋_GBK" w:hAnsi="方正小标宋_GBK" w:eastAsia="方正小标宋_GBK" w:cs="方正小标宋_GBK"/>
          <w:i w:val="0"/>
          <w:iCs w:val="0"/>
          <w:color w:val="auto"/>
          <w:kern w:val="0"/>
          <w:sz w:val="32"/>
          <w:szCs w:val="32"/>
          <w:u w:val="none"/>
          <w:lang w:val="en-US" w:eastAsia="zh-CN" w:bidi="ar"/>
        </w:rPr>
        <w:t>部门整体支出绩效评价指标体系</w:t>
      </w:r>
      <w:bookmarkEnd w:id="506"/>
    </w:p>
    <w:tbl>
      <w:tblPr>
        <w:tblStyle w:val="10"/>
        <w:tblW w:w="4996" w:type="pct"/>
        <w:tblInd w:w="0" w:type="dxa"/>
        <w:shd w:val="clear" w:color="auto" w:fill="auto"/>
        <w:tblLayout w:type="fixed"/>
        <w:tblCellMar>
          <w:top w:w="0" w:type="dxa"/>
          <w:left w:w="108" w:type="dxa"/>
          <w:bottom w:w="0" w:type="dxa"/>
          <w:right w:w="108" w:type="dxa"/>
        </w:tblCellMar>
      </w:tblPr>
      <w:tblGrid>
        <w:gridCol w:w="703"/>
        <w:gridCol w:w="720"/>
        <w:gridCol w:w="1187"/>
        <w:gridCol w:w="2554"/>
        <w:gridCol w:w="4386"/>
        <w:gridCol w:w="911"/>
        <w:gridCol w:w="882"/>
        <w:gridCol w:w="2820"/>
      </w:tblGrid>
      <w:tr w14:paraId="60823143">
        <w:tblPrEx>
          <w:shd w:val="clear" w:color="auto" w:fill="auto"/>
          <w:tblCellMar>
            <w:top w:w="0" w:type="dxa"/>
            <w:left w:w="108" w:type="dxa"/>
            <w:bottom w:w="0" w:type="dxa"/>
            <w:right w:w="108" w:type="dxa"/>
          </w:tblCellMar>
        </w:tblPrEx>
        <w:trPr>
          <w:trHeight w:val="690" w:hRule="atLeast"/>
          <w:tblHeader/>
        </w:trPr>
        <w:tc>
          <w:tcPr>
            <w:tcW w:w="92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885FD9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绩效指标</w:t>
            </w:r>
          </w:p>
        </w:tc>
        <w:tc>
          <w:tcPr>
            <w:tcW w:w="90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D09958">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指标解释</w:t>
            </w:r>
          </w:p>
        </w:tc>
        <w:tc>
          <w:tcPr>
            <w:tcW w:w="1548" w:type="pct"/>
            <w:vMerge w:val="restart"/>
            <w:tcBorders>
              <w:top w:val="single" w:color="000000" w:sz="4" w:space="0"/>
              <w:left w:val="nil"/>
              <w:bottom w:val="single" w:color="000000" w:sz="4" w:space="0"/>
              <w:right w:val="single" w:color="000000" w:sz="4" w:space="0"/>
            </w:tcBorders>
            <w:shd w:val="clear" w:color="auto" w:fill="auto"/>
            <w:vAlign w:val="center"/>
          </w:tcPr>
          <w:p w14:paraId="4DC1FCD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计分标准</w:t>
            </w:r>
          </w:p>
        </w:tc>
        <w:tc>
          <w:tcPr>
            <w:tcW w:w="32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14F055">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分值</w:t>
            </w:r>
          </w:p>
        </w:tc>
        <w:tc>
          <w:tcPr>
            <w:tcW w:w="311" w:type="pct"/>
            <w:vMerge w:val="restart"/>
            <w:tcBorders>
              <w:top w:val="single" w:color="000000" w:sz="4" w:space="0"/>
              <w:left w:val="nil"/>
              <w:bottom w:val="single" w:color="000000" w:sz="4" w:space="0"/>
              <w:right w:val="single" w:color="000000" w:sz="4" w:space="0"/>
            </w:tcBorders>
            <w:shd w:val="clear" w:color="auto" w:fill="auto"/>
            <w:vAlign w:val="center"/>
          </w:tcPr>
          <w:p w14:paraId="2A2C820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得分</w:t>
            </w:r>
          </w:p>
        </w:tc>
        <w:tc>
          <w:tcPr>
            <w:tcW w:w="995" w:type="pct"/>
            <w:vMerge w:val="restart"/>
            <w:tcBorders>
              <w:top w:val="single" w:color="000000" w:sz="4" w:space="0"/>
              <w:left w:val="nil"/>
              <w:bottom w:val="single" w:color="000000" w:sz="4" w:space="0"/>
              <w:right w:val="single" w:color="000000" w:sz="4" w:space="0"/>
            </w:tcBorders>
            <w:shd w:val="clear" w:color="auto" w:fill="auto"/>
            <w:vAlign w:val="center"/>
          </w:tcPr>
          <w:p w14:paraId="537097EA">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扣分原因</w:t>
            </w:r>
          </w:p>
        </w:tc>
      </w:tr>
      <w:tr w14:paraId="08A8A59D">
        <w:tblPrEx>
          <w:tblCellMar>
            <w:top w:w="0" w:type="dxa"/>
            <w:left w:w="108" w:type="dxa"/>
            <w:bottom w:w="0" w:type="dxa"/>
            <w:right w:w="108" w:type="dxa"/>
          </w:tblCellMar>
        </w:tblPrEx>
        <w:trPr>
          <w:trHeight w:val="345" w:hRule="atLeast"/>
          <w:tblHeader/>
        </w:trPr>
        <w:tc>
          <w:tcPr>
            <w:tcW w:w="2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AFCB8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一级指标</w:t>
            </w:r>
          </w:p>
        </w:tc>
        <w:tc>
          <w:tcPr>
            <w:tcW w:w="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A789CA">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二级指标</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2D0152">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三级指标</w:t>
            </w:r>
          </w:p>
        </w:tc>
        <w:tc>
          <w:tcPr>
            <w:tcW w:w="9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E0AD40">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1548" w:type="pct"/>
            <w:vMerge w:val="continue"/>
            <w:tcBorders>
              <w:top w:val="single" w:color="000000" w:sz="4" w:space="0"/>
              <w:left w:val="nil"/>
              <w:bottom w:val="single" w:color="000000" w:sz="4" w:space="0"/>
              <w:right w:val="single" w:color="000000" w:sz="4" w:space="0"/>
            </w:tcBorders>
            <w:shd w:val="clear" w:color="auto" w:fill="auto"/>
            <w:vAlign w:val="center"/>
          </w:tcPr>
          <w:p w14:paraId="4BFC8AE0">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3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532502">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311" w:type="pct"/>
            <w:vMerge w:val="continue"/>
            <w:tcBorders>
              <w:top w:val="single" w:color="000000" w:sz="4" w:space="0"/>
              <w:left w:val="nil"/>
              <w:bottom w:val="single" w:color="000000" w:sz="4" w:space="0"/>
              <w:right w:val="single" w:color="000000" w:sz="4" w:space="0"/>
            </w:tcBorders>
            <w:shd w:val="clear" w:color="auto" w:fill="auto"/>
            <w:vAlign w:val="center"/>
          </w:tcPr>
          <w:p w14:paraId="4C2601A9">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995" w:type="pct"/>
            <w:vMerge w:val="continue"/>
            <w:tcBorders>
              <w:top w:val="single" w:color="000000" w:sz="4" w:space="0"/>
              <w:left w:val="nil"/>
              <w:bottom w:val="single" w:color="000000" w:sz="4" w:space="0"/>
              <w:right w:val="single" w:color="000000" w:sz="4" w:space="0"/>
            </w:tcBorders>
            <w:shd w:val="clear" w:color="auto" w:fill="auto"/>
            <w:vAlign w:val="center"/>
          </w:tcPr>
          <w:p w14:paraId="209F92D4">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r>
      <w:tr w14:paraId="56110A0D">
        <w:tblPrEx>
          <w:tblCellMar>
            <w:top w:w="0" w:type="dxa"/>
            <w:left w:w="108" w:type="dxa"/>
            <w:bottom w:w="0" w:type="dxa"/>
            <w:right w:w="108" w:type="dxa"/>
          </w:tblCellMar>
        </w:tblPrEx>
        <w:trPr>
          <w:trHeight w:val="2160" w:hRule="atLeast"/>
        </w:trPr>
        <w:tc>
          <w:tcPr>
            <w:tcW w:w="24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3211B8">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部门预算管理（80分）</w:t>
            </w:r>
          </w:p>
        </w:tc>
        <w:tc>
          <w:tcPr>
            <w:tcW w:w="2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41F39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预算编制（30分）</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2F619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目标制定</w:t>
            </w:r>
          </w:p>
        </w:tc>
        <w:tc>
          <w:tcPr>
            <w:tcW w:w="9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468C58">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评价部门绩效目标是否要素完整、细化量化。</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9B1088">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1.绩效目标编制要素完整的，得5分，否则酌情扣分。                                                       2.绩效指标细化量化的，得5分，否则酌情扣分。                  有项目绩效目标的部门（单位），根据项目绩效目标编制质量打分，无项目绩效目标的部门，根据部门整体支出绩效目标打分。                                                                    </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A8DD9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34D565">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472CF2">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紫竹路小学整体绩效目标中有部分数量指标未达量化标准。如：“学校办公文具、器材购置 ”的指标值为“教职工办公、学生器材”，无明确具体数量，指标值未量化，不可衡量。</w:t>
            </w:r>
          </w:p>
        </w:tc>
      </w:tr>
      <w:tr w14:paraId="703B9CBB">
        <w:tblPrEx>
          <w:tblCellMar>
            <w:top w:w="0" w:type="dxa"/>
            <w:left w:w="108" w:type="dxa"/>
            <w:bottom w:w="0" w:type="dxa"/>
            <w:right w:w="108" w:type="dxa"/>
          </w:tblCellMar>
        </w:tblPrEx>
        <w:trPr>
          <w:trHeight w:val="2805" w:hRule="atLeast"/>
        </w:trPr>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09157F">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0090A3">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8355D4">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目标实现</w:t>
            </w:r>
          </w:p>
        </w:tc>
        <w:tc>
          <w:tcPr>
            <w:tcW w:w="9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F6335E">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评价部门绩效目标实际实现程度与预期目标的偏离度。</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0D9CDD">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以项目完成数量为核心，评价项目实际完成情况与预期绩效目标偏离度，单个数量指标实际完成未达到预期指标或超过预期指标30%以上的，均不计分。该项指标得分=达到预期值的数量指标个数/全部数量指标个数（即评价选取的项目绩效目标包含的所有数量指标）</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0ECF7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2B7196">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5B0F07">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5B8C763A">
        <w:tblPrEx>
          <w:tblCellMar>
            <w:top w:w="0" w:type="dxa"/>
            <w:left w:w="108" w:type="dxa"/>
            <w:bottom w:w="0" w:type="dxa"/>
            <w:right w:w="108" w:type="dxa"/>
          </w:tblCellMar>
        </w:tblPrEx>
        <w:trPr>
          <w:trHeight w:val="1780" w:hRule="atLeast"/>
        </w:trPr>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F450B2">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1BD005">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AF71D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编制准确</w:t>
            </w:r>
          </w:p>
        </w:tc>
        <w:tc>
          <w:tcPr>
            <w:tcW w:w="9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DD78B7">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评价部门年初预算编制是否科学准确。</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F33903">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指标得分=（1-（10×部门全年预算调剂金额/年初部门预算数））*指标分值。其中：若部门全年预算调剂金额/年初部门预算数&gt;0.1，此项得0分。</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645798">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9306D0">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E6F6D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单位2021年预算数为705.65万元，调整预算为1,016.6万元，支出决算数为984万元。</w:t>
            </w:r>
          </w:p>
          <w:p w14:paraId="2987D720">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部门全年预算调剂金额/年初部门预算数=0.44&gt;0.1</w:t>
            </w:r>
          </w:p>
        </w:tc>
      </w:tr>
      <w:tr w14:paraId="66DEE170">
        <w:tblPrEx>
          <w:tblCellMar>
            <w:top w:w="0" w:type="dxa"/>
            <w:left w:w="108" w:type="dxa"/>
            <w:bottom w:w="0" w:type="dxa"/>
            <w:right w:w="108" w:type="dxa"/>
          </w:tblCellMar>
        </w:tblPrEx>
        <w:trPr>
          <w:trHeight w:val="2059" w:hRule="atLeast"/>
        </w:trPr>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4FF515">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2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7BF98E">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预算执行（30分）</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A5D445">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支出控制</w:t>
            </w:r>
          </w:p>
        </w:tc>
        <w:tc>
          <w:tcPr>
            <w:tcW w:w="9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47AFD0">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部门公用经费及非定额公用支出控制情况。</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03879C">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计算部门日常公用经费、项目支出中“办公费、印刷费、水费、电费、物业管理费”等科目年初预算数与决算数偏差程度                                                              预决算偏差程度在10%以内的，得10分。偏差度在10%-20%之间的，得5分，偏差度超过20%的，不得分。</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066D6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8FA83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AC41C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日常公用经费及项目支出中“办公费、印刷费、水费、电费、物业管理费”等科目年初预算数为42.95万元，决算数为149.01万元，预决算偏差程度为247%，偏差程度超过20%。</w:t>
            </w:r>
          </w:p>
        </w:tc>
      </w:tr>
      <w:tr w14:paraId="517D33D7">
        <w:tblPrEx>
          <w:tblCellMar>
            <w:top w:w="0" w:type="dxa"/>
            <w:left w:w="108" w:type="dxa"/>
            <w:bottom w:w="0" w:type="dxa"/>
            <w:right w:w="108" w:type="dxa"/>
          </w:tblCellMar>
        </w:tblPrEx>
        <w:trPr>
          <w:trHeight w:val="3120" w:hRule="atLeast"/>
        </w:trPr>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447567">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53C7E1">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79A2D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动态调整</w:t>
            </w:r>
          </w:p>
        </w:tc>
        <w:tc>
          <w:tcPr>
            <w:tcW w:w="9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C8AEA7">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评价部门开展绩效运行监控后，将绩效监控结果应用到预算调整的情况。</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403D0D">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1.当部门绩效监控调整取消额和结余注销额均不为零时，指标得分=部门项目支出绩效监控调整取消额÷(部门绩效监控调整取消额+预算结余注销额）*10                                                  2.当部门绩效监控调整取消额为零，结余注销额不为零时，指标得分=（1-10*结余注销额/年度预算总额）*10，结余注销额超过部门年度预算总额10%的，指标不得分。                  3.当部门绩效监控调整取消额与结余注销额均为零时，得满分。                                                             </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A02387">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943257">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4F315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308FD6C4">
        <w:tblPrEx>
          <w:tblCellMar>
            <w:top w:w="0" w:type="dxa"/>
            <w:left w:w="108" w:type="dxa"/>
            <w:bottom w:w="0" w:type="dxa"/>
            <w:right w:w="108" w:type="dxa"/>
          </w:tblCellMar>
        </w:tblPrEx>
        <w:trPr>
          <w:trHeight w:val="2010" w:hRule="atLeast"/>
        </w:trPr>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DDB3D1">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EA60AD">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A1875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执行进度</w:t>
            </w:r>
          </w:p>
        </w:tc>
        <w:tc>
          <w:tcPr>
            <w:tcW w:w="9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B53624">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评价部门在6、9、11月的预算执行情况。</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8AB655">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部门预算执行进度在6、9、11月应达到序时进度的80%、90%、90%，即实际支出进度分别达到40%、67.5%、82.5%。                                                     6、9、11月部门预算执行进度达到量化指标的分别得3、4、3分，未达到目标进度的按其实际进度占目标进度的比重计算得分。                                             </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80406B">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97065A">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35BCEE">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62D2ECDE">
        <w:tblPrEx>
          <w:tblCellMar>
            <w:top w:w="0" w:type="dxa"/>
            <w:left w:w="108" w:type="dxa"/>
            <w:bottom w:w="0" w:type="dxa"/>
            <w:right w:w="108" w:type="dxa"/>
          </w:tblCellMar>
        </w:tblPrEx>
        <w:trPr>
          <w:trHeight w:val="1380" w:hRule="atLeast"/>
        </w:trPr>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265220">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2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54A47B">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完成结果（20分）</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909247">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预算完成</w:t>
            </w:r>
          </w:p>
        </w:tc>
        <w:tc>
          <w:tcPr>
            <w:tcW w:w="9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E41E9A">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评价部门预算项目年终预算执行情况。</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EA8A89">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部门预算项目12月预算执行进度达到100%的，得10分，未达100%的，按照实际进度量化计算得分。</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AD577B">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A30B1E">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9.67</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9E3874">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调整预算为1,016.6万元，支出决算数为984万元，预算执行率为96.79%</w:t>
            </w:r>
          </w:p>
          <w:p w14:paraId="2657D3B1">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得分=96.79%*10=9.67分</w:t>
            </w:r>
          </w:p>
        </w:tc>
      </w:tr>
      <w:tr w14:paraId="27ABD59E">
        <w:tblPrEx>
          <w:tblCellMar>
            <w:top w:w="0" w:type="dxa"/>
            <w:left w:w="108" w:type="dxa"/>
            <w:bottom w:w="0" w:type="dxa"/>
            <w:right w:w="108" w:type="dxa"/>
          </w:tblCellMar>
        </w:tblPrEx>
        <w:trPr>
          <w:trHeight w:val="1080" w:hRule="atLeast"/>
        </w:trPr>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93C214">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EB7202">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8B878A">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违规记录</w:t>
            </w:r>
          </w:p>
        </w:tc>
        <w:tc>
          <w:tcPr>
            <w:tcW w:w="9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8378ED">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根据审计监督、财政检查结果反映部门上一年度部门预算管理是否合规。</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1310C8">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依据评价年度审计监督、财政检查结果，出现部门预算管理方面违纪违规问题的，每个问题扣0.5分，直至扣完。</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8336EB">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008652">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98EBA7">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7E2F6760">
        <w:tblPrEx>
          <w:tblCellMar>
            <w:top w:w="0" w:type="dxa"/>
            <w:left w:w="108" w:type="dxa"/>
            <w:bottom w:w="0" w:type="dxa"/>
            <w:right w:w="108" w:type="dxa"/>
          </w:tblCellMar>
        </w:tblPrEx>
        <w:trPr>
          <w:trHeight w:val="1740" w:hRule="atLeast"/>
        </w:trPr>
        <w:tc>
          <w:tcPr>
            <w:tcW w:w="24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978F0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绩效结果应用（10分）</w:t>
            </w:r>
          </w:p>
        </w:tc>
        <w:tc>
          <w:tcPr>
            <w:tcW w:w="254" w:type="pct"/>
            <w:tcBorders>
              <w:top w:val="nil"/>
              <w:left w:val="single" w:color="000000" w:sz="4" w:space="0"/>
              <w:bottom w:val="single" w:color="000000" w:sz="4" w:space="0"/>
              <w:right w:val="single" w:color="000000" w:sz="4" w:space="0"/>
            </w:tcBorders>
            <w:shd w:val="clear" w:color="auto" w:fill="auto"/>
            <w:vAlign w:val="center"/>
          </w:tcPr>
          <w:p w14:paraId="33DD3722">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信息公开（2分)</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24B594">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自评公开</w:t>
            </w:r>
          </w:p>
        </w:tc>
        <w:tc>
          <w:tcPr>
            <w:tcW w:w="9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8E5451">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评价部门是否按要求将部门整体绩效自评情况和自行组织的评价情况向社会公开。</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B3982D">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按要求将相关绩效信息随同决算公开的，得2分，否则不得分。</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866F7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259E21">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9EA9F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7B75E9E4">
        <w:tblPrEx>
          <w:tblCellMar>
            <w:top w:w="0" w:type="dxa"/>
            <w:left w:w="108" w:type="dxa"/>
            <w:bottom w:w="0" w:type="dxa"/>
            <w:right w:w="108" w:type="dxa"/>
          </w:tblCellMar>
        </w:tblPrEx>
        <w:trPr>
          <w:trHeight w:val="1740" w:hRule="atLeast"/>
        </w:trPr>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84FEC7">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2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CB7CE2">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整改反馈（8分）</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72A50A">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结果整改</w:t>
            </w:r>
          </w:p>
        </w:tc>
        <w:tc>
          <w:tcPr>
            <w:tcW w:w="9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024300">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评价部门根据绩效管理结果整改问题、完善政策、改进管理的情况。</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C6D401">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针对绩效管理过程中（包括绩效目标核查、绩效监控核查和重点绩效评价）提出的问题进行整改，将绩效管理结果应用于完善政策、改进管理、预算挂钩等的，得4分。否则，酌情扣分。</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D86C7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7C1BA8">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238812">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6367BB33">
        <w:tblPrEx>
          <w:tblCellMar>
            <w:top w:w="0" w:type="dxa"/>
            <w:left w:w="108" w:type="dxa"/>
            <w:bottom w:w="0" w:type="dxa"/>
            <w:right w:w="108" w:type="dxa"/>
          </w:tblCellMar>
        </w:tblPrEx>
        <w:trPr>
          <w:trHeight w:val="1320" w:hRule="atLeast"/>
        </w:trPr>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ABE1BA">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4A1814">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EDC2C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应用反馈</w:t>
            </w:r>
          </w:p>
        </w:tc>
        <w:tc>
          <w:tcPr>
            <w:tcW w:w="9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600077">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评价部门按要求及时向财政部门反馈结果应用情况。</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CEBA1F">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部门在规定时间内向财政部门反馈应用绩效结果报告的，得满分，否则不得分。</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D5D9B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9A2582">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8530C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6463B729">
        <w:tblPrEx>
          <w:tblCellMar>
            <w:top w:w="0" w:type="dxa"/>
            <w:left w:w="108" w:type="dxa"/>
            <w:bottom w:w="0" w:type="dxa"/>
            <w:right w:w="108" w:type="dxa"/>
          </w:tblCellMar>
        </w:tblPrEx>
        <w:trPr>
          <w:trHeight w:val="1248" w:hRule="atLeast"/>
        </w:trPr>
        <w:tc>
          <w:tcPr>
            <w:tcW w:w="2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11D326">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自评质量（10分）</w:t>
            </w:r>
          </w:p>
        </w:tc>
        <w:tc>
          <w:tcPr>
            <w:tcW w:w="254" w:type="pct"/>
            <w:tcBorders>
              <w:top w:val="nil"/>
              <w:left w:val="single" w:color="000000" w:sz="4" w:space="0"/>
              <w:bottom w:val="single" w:color="000000" w:sz="4" w:space="0"/>
              <w:right w:val="single" w:color="000000" w:sz="4" w:space="0"/>
            </w:tcBorders>
            <w:shd w:val="clear" w:color="auto" w:fill="auto"/>
            <w:vAlign w:val="center"/>
          </w:tcPr>
          <w:p w14:paraId="6263CCA0">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自评质量（10分）</w:t>
            </w:r>
          </w:p>
        </w:tc>
        <w:tc>
          <w:tcPr>
            <w:tcW w:w="419" w:type="pct"/>
            <w:tcBorders>
              <w:top w:val="nil"/>
              <w:left w:val="single" w:color="000000" w:sz="4" w:space="0"/>
              <w:bottom w:val="single" w:color="000000" w:sz="4" w:space="0"/>
              <w:right w:val="single" w:color="000000" w:sz="4" w:space="0"/>
            </w:tcBorders>
            <w:shd w:val="clear" w:color="auto" w:fill="auto"/>
            <w:vAlign w:val="center"/>
          </w:tcPr>
          <w:p w14:paraId="5F87D65A">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自评准确</w:t>
            </w:r>
          </w:p>
        </w:tc>
        <w:tc>
          <w:tcPr>
            <w:tcW w:w="901" w:type="pct"/>
            <w:tcBorders>
              <w:top w:val="nil"/>
              <w:left w:val="single" w:color="000000" w:sz="4" w:space="0"/>
              <w:bottom w:val="single" w:color="000000" w:sz="4" w:space="0"/>
              <w:right w:val="single" w:color="000000" w:sz="4" w:space="0"/>
            </w:tcBorders>
            <w:shd w:val="clear" w:color="auto" w:fill="auto"/>
            <w:vAlign w:val="center"/>
          </w:tcPr>
          <w:p w14:paraId="3F5FF952">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评价部门整体支出自评准确率。</w:t>
            </w:r>
          </w:p>
        </w:tc>
        <w:tc>
          <w:tcPr>
            <w:tcW w:w="1548" w:type="pct"/>
            <w:tcBorders>
              <w:top w:val="nil"/>
              <w:left w:val="single" w:color="000000" w:sz="4" w:space="0"/>
              <w:bottom w:val="single" w:color="000000" w:sz="4" w:space="0"/>
              <w:right w:val="single" w:color="000000" w:sz="4" w:space="0"/>
            </w:tcBorders>
            <w:shd w:val="clear" w:color="auto" w:fill="auto"/>
            <w:vAlign w:val="center"/>
          </w:tcPr>
          <w:p w14:paraId="19697ACA">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部门整体支出自评得分与评价组抽查得分差异在5%以内的，不扣分；在5%-10%之间的，扣4分，在10%-20%的，扣8分，在20%以上的，扣10分。（部门在自评时，此项指标无需打分，部门自评满分为90分）</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433A8A">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C8A68A">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BA1C1E">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5483331E">
        <w:tblPrEx>
          <w:tblCellMar>
            <w:top w:w="0" w:type="dxa"/>
            <w:left w:w="108" w:type="dxa"/>
            <w:bottom w:w="0" w:type="dxa"/>
            <w:right w:w="108" w:type="dxa"/>
          </w:tblCellMar>
        </w:tblPrEx>
        <w:trPr>
          <w:trHeight w:val="560" w:hRule="atLeast"/>
        </w:trPr>
        <w:tc>
          <w:tcPr>
            <w:tcW w:w="337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D4F5FD5">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14C68E">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E25E3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77.67</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EDA609">
            <w:pPr>
              <w:pageBreakBefore w:val="0"/>
              <w:wordWrap/>
              <w:overflowPunct/>
              <w:topLinePunct w:val="0"/>
              <w:bidi w:val="0"/>
              <w:spacing w:line="560" w:lineRule="exact"/>
              <w:jc w:val="center"/>
              <w:rPr>
                <w:rFonts w:hint="eastAsia" w:ascii="宋体" w:hAnsi="宋体" w:eastAsia="宋体" w:cs="宋体"/>
                <w:b/>
                <w:bCs/>
                <w:i w:val="0"/>
                <w:iCs w:val="0"/>
                <w:color w:val="000000"/>
                <w:sz w:val="28"/>
                <w:szCs w:val="28"/>
                <w:u w:val="none"/>
              </w:rPr>
            </w:pPr>
          </w:p>
        </w:tc>
      </w:tr>
    </w:tbl>
    <w:p w14:paraId="38AFB46A">
      <w:pPr>
        <w:pStyle w:val="17"/>
        <w:pageBreakBefore w:val="0"/>
        <w:kinsoku/>
        <w:wordWrap/>
        <w:overflowPunct/>
        <w:topLinePunct w:val="0"/>
        <w:autoSpaceDE/>
        <w:autoSpaceDN/>
        <w:bidi w:val="0"/>
        <w:spacing w:line="560" w:lineRule="exact"/>
        <w:ind w:firstLine="420" w:firstLineChars="200"/>
        <w:jc w:val="both"/>
        <w:textAlignment w:val="auto"/>
        <w:rPr>
          <w:rFonts w:hint="eastAsia" w:eastAsia="宋体" w:cs="宋体"/>
          <w:color w:val="auto"/>
          <w:lang w:val="en-US" w:eastAsia="zh-CN"/>
        </w:rPr>
      </w:pPr>
    </w:p>
    <w:p w14:paraId="1FFA3ECF">
      <w:pPr>
        <w:pStyle w:val="17"/>
        <w:pageBreakBefore w:val="0"/>
        <w:kinsoku/>
        <w:wordWrap/>
        <w:overflowPunct/>
        <w:topLinePunct w:val="0"/>
        <w:autoSpaceDE/>
        <w:autoSpaceDN/>
        <w:bidi w:val="0"/>
        <w:spacing w:line="560" w:lineRule="exact"/>
        <w:ind w:firstLine="420" w:firstLineChars="200"/>
        <w:jc w:val="both"/>
        <w:textAlignment w:val="auto"/>
        <w:rPr>
          <w:rFonts w:hint="default" w:eastAsia="宋体" w:cs="宋体"/>
          <w:color w:val="auto"/>
          <w:lang w:val="en-US" w:eastAsia="zh-CN"/>
        </w:rPr>
      </w:pPr>
    </w:p>
    <w:p w14:paraId="5187077C">
      <w:pPr>
        <w:pStyle w:val="4"/>
        <w:pageBreakBefore w:val="0"/>
        <w:kinsoku/>
        <w:wordWrap/>
        <w:overflowPunct/>
        <w:topLinePunct w:val="0"/>
        <w:autoSpaceDE/>
        <w:autoSpaceDN/>
        <w:bidi w:val="0"/>
        <w:spacing w:line="560" w:lineRule="exact"/>
        <w:ind w:firstLine="640" w:firstLineChars="200"/>
        <w:textAlignment w:val="auto"/>
        <w:rPr>
          <w:rFonts w:hint="eastAsia" w:eastAsia="仿宋_GB2312"/>
          <w:color w:val="auto"/>
          <w:lang w:val="en-US" w:eastAsia="zh-CN"/>
        </w:rPr>
      </w:pPr>
    </w:p>
    <w:p w14:paraId="7FF9D281">
      <w:pPr>
        <w:pStyle w:val="4"/>
        <w:keepNext w:val="0"/>
        <w:keepLines w:val="0"/>
        <w:pageBreakBefore w:val="0"/>
        <w:widowControl w:val="0"/>
        <w:kinsoku/>
        <w:wordWrap/>
        <w:overflowPunct/>
        <w:topLinePunct w:val="0"/>
        <w:autoSpaceDE/>
        <w:autoSpaceDN/>
        <w:bidi w:val="0"/>
        <w:adjustRightInd w:val="0"/>
        <w:spacing w:line="560" w:lineRule="exact"/>
        <w:ind w:firstLine="640" w:firstLineChars="200"/>
        <w:textAlignment w:val="auto"/>
        <w:rPr>
          <w:rFonts w:hint="default"/>
          <w:color w:val="auto"/>
          <w:lang w:val="en-US" w:eastAsia="zh-CN"/>
        </w:rPr>
        <w:sectPr>
          <w:pgSz w:w="16838" w:h="11906" w:orient="landscape"/>
          <w:pgMar w:top="1797" w:right="1440" w:bottom="1489" w:left="1440" w:header="851" w:footer="992" w:gutter="0"/>
          <w:pgNumType w:start="1"/>
          <w:cols w:space="425" w:num="1"/>
          <w:docGrid w:type="lines" w:linePitch="312" w:charSpace="0"/>
        </w:sectPr>
      </w:pPr>
    </w:p>
    <w:p w14:paraId="047CFC13">
      <w:pPr>
        <w:keepNext w:val="0"/>
        <w:keepLines w:val="0"/>
        <w:pageBreakBefore w:val="0"/>
        <w:widowControl/>
        <w:kinsoku/>
        <w:wordWrap/>
        <w:overflowPunct/>
        <w:topLinePunct w:val="0"/>
        <w:autoSpaceDE/>
        <w:autoSpaceDN/>
        <w:bidi w:val="0"/>
        <w:adjustRightInd w:val="0"/>
        <w:snapToGrid w:val="0"/>
        <w:spacing w:line="560" w:lineRule="exact"/>
        <w:ind w:firstLine="0" w:firstLineChars="0"/>
        <w:jc w:val="center"/>
        <w:textAlignment w:val="auto"/>
        <w:outlineLvl w:val="0"/>
        <w:rPr>
          <w:rFonts w:ascii="Times New Roman" w:hAnsi="Times New Roman" w:eastAsia="小标宋" w:cs="Times New Roman"/>
          <w:b/>
          <w:color w:val="auto"/>
          <w:sz w:val="44"/>
          <w:szCs w:val="44"/>
        </w:rPr>
      </w:pPr>
      <w:bookmarkStart w:id="507" w:name="_Toc22030"/>
      <w:bookmarkStart w:id="508" w:name="_Toc18151"/>
    </w:p>
    <w:p w14:paraId="493FBCF6">
      <w:pPr>
        <w:keepNext w:val="0"/>
        <w:keepLines w:val="0"/>
        <w:pageBreakBefore w:val="0"/>
        <w:widowControl/>
        <w:kinsoku/>
        <w:wordWrap/>
        <w:overflowPunct/>
        <w:topLinePunct w:val="0"/>
        <w:autoSpaceDE/>
        <w:autoSpaceDN/>
        <w:bidi w:val="0"/>
        <w:adjustRightInd w:val="0"/>
        <w:snapToGrid w:val="0"/>
        <w:spacing w:line="560" w:lineRule="exact"/>
        <w:ind w:firstLine="0" w:firstLineChars="0"/>
        <w:jc w:val="center"/>
        <w:textAlignment w:val="auto"/>
        <w:outlineLvl w:val="0"/>
        <w:rPr>
          <w:rFonts w:ascii="Times New Roman" w:hAnsi="Times New Roman" w:eastAsia="小标宋" w:cs="Times New Roman"/>
          <w:b/>
          <w:color w:val="auto"/>
          <w:sz w:val="44"/>
          <w:szCs w:val="44"/>
        </w:rPr>
      </w:pPr>
    </w:p>
    <w:p w14:paraId="490F0B65">
      <w:pPr>
        <w:keepNext w:val="0"/>
        <w:keepLines w:val="0"/>
        <w:pageBreakBefore w:val="0"/>
        <w:widowControl/>
        <w:kinsoku/>
        <w:wordWrap/>
        <w:overflowPunct/>
        <w:topLinePunct w:val="0"/>
        <w:autoSpaceDE/>
        <w:autoSpaceDN/>
        <w:bidi w:val="0"/>
        <w:adjustRightInd w:val="0"/>
        <w:snapToGrid w:val="0"/>
        <w:spacing w:line="560" w:lineRule="exact"/>
        <w:ind w:firstLine="0" w:firstLineChars="0"/>
        <w:jc w:val="center"/>
        <w:textAlignment w:val="auto"/>
        <w:outlineLvl w:val="0"/>
        <w:rPr>
          <w:rFonts w:ascii="小标宋" w:hAnsi="方正小标宋_GBK" w:eastAsia="小标宋" w:cs="Times New Roman"/>
          <w:b/>
          <w:color w:val="auto"/>
          <w:sz w:val="44"/>
          <w:szCs w:val="44"/>
        </w:rPr>
      </w:pPr>
      <w:r>
        <w:rPr>
          <w:rFonts w:ascii="Times New Roman" w:hAnsi="Times New Roman" w:eastAsia="小标宋" w:cs="Times New Roman"/>
          <w:b/>
          <w:color w:val="auto"/>
          <w:sz w:val="44"/>
          <w:szCs w:val="44"/>
        </w:rPr>
        <w:t>20</w:t>
      </w:r>
      <w:r>
        <w:rPr>
          <w:rFonts w:hint="eastAsia" w:ascii="Times New Roman" w:hAnsi="Times New Roman" w:eastAsia="小标宋" w:cs="Times New Roman"/>
          <w:b/>
          <w:color w:val="auto"/>
          <w:sz w:val="44"/>
          <w:szCs w:val="44"/>
          <w:lang w:val="en-US" w:eastAsia="zh-CN"/>
        </w:rPr>
        <w:t>21</w:t>
      </w:r>
      <w:r>
        <w:rPr>
          <w:rFonts w:ascii="Times New Roman" w:hAnsi="Times New Roman" w:eastAsia="小标宋" w:cs="Times New Roman"/>
          <w:b/>
          <w:color w:val="auto"/>
          <w:sz w:val="44"/>
          <w:szCs w:val="44"/>
        </w:rPr>
        <w:t>年</w:t>
      </w:r>
      <w:r>
        <w:rPr>
          <w:rFonts w:hint="eastAsia" w:ascii="Times New Roman" w:hAnsi="Times New Roman" w:eastAsia="小标宋" w:cs="Times New Roman"/>
          <w:b/>
          <w:color w:val="auto"/>
          <w:sz w:val="44"/>
          <w:szCs w:val="44"/>
          <w:lang w:val="en-US" w:eastAsia="zh-CN"/>
        </w:rPr>
        <w:t>遂宁市河东新区紫竹路幼儿园</w:t>
      </w:r>
      <w:r>
        <w:rPr>
          <w:rFonts w:hint="eastAsia" w:ascii="Times New Roman" w:hAnsi="Times New Roman" w:eastAsia="小标宋" w:cs="Times New Roman"/>
          <w:b/>
          <w:color w:val="auto"/>
          <w:sz w:val="44"/>
          <w:szCs w:val="44"/>
        </w:rPr>
        <w:t>部门整体支出绩效评价报告</w:t>
      </w:r>
      <w:bookmarkEnd w:id="507"/>
      <w:bookmarkEnd w:id="508"/>
    </w:p>
    <w:p w14:paraId="6B86E380">
      <w:pPr>
        <w:pStyle w:val="4"/>
        <w:keepNext w:val="0"/>
        <w:keepLines w:val="0"/>
        <w:pageBreakBefore w:val="0"/>
        <w:widowControl/>
        <w:kinsoku/>
        <w:wordWrap/>
        <w:overflowPunct/>
        <w:topLinePunct w:val="0"/>
        <w:autoSpaceDE/>
        <w:autoSpaceDN/>
        <w:bidi w:val="0"/>
        <w:adjustRightInd w:val="0"/>
        <w:snapToGrid w:val="0"/>
        <w:spacing w:line="560" w:lineRule="exact"/>
        <w:ind w:left="0" w:leftChars="0" w:firstLine="0" w:firstLineChars="0"/>
        <w:textAlignment w:val="auto"/>
        <w:rPr>
          <w:rFonts w:hint="eastAsia"/>
          <w:color w:val="auto"/>
        </w:rPr>
      </w:pPr>
    </w:p>
    <w:p w14:paraId="277F8152">
      <w:pPr>
        <w:pStyle w:val="4"/>
        <w:keepNext w:val="0"/>
        <w:keepLines w:val="0"/>
        <w:pageBreakBefore w:val="0"/>
        <w:widowControl/>
        <w:kinsoku/>
        <w:wordWrap/>
        <w:overflowPunct/>
        <w:topLinePunct w:val="0"/>
        <w:autoSpaceDE/>
        <w:autoSpaceDN/>
        <w:bidi w:val="0"/>
        <w:adjustRightInd w:val="0"/>
        <w:snapToGrid w:val="0"/>
        <w:spacing w:line="680" w:lineRule="exact"/>
        <w:ind w:left="0" w:leftChars="0" w:firstLine="0" w:firstLineChars="0"/>
        <w:textAlignment w:val="auto"/>
        <w:rPr>
          <w:rFonts w:hint="eastAsia"/>
          <w:color w:val="auto"/>
        </w:rPr>
      </w:pPr>
      <w:r>
        <w:rPr>
          <w:rFonts w:hint="eastAsia"/>
          <w:color w:val="auto"/>
        </w:rPr>
        <w:t>遂宁市河东新区财政金融国资管理局：</w:t>
      </w:r>
    </w:p>
    <w:p w14:paraId="7E98AD35">
      <w:pPr>
        <w:pStyle w:val="4"/>
        <w:keepNext w:val="0"/>
        <w:keepLines w:val="0"/>
        <w:pageBreakBefore w:val="0"/>
        <w:widowControl/>
        <w:kinsoku/>
        <w:wordWrap/>
        <w:overflowPunct/>
        <w:topLinePunct w:val="0"/>
        <w:autoSpaceDE/>
        <w:autoSpaceDN/>
        <w:bidi w:val="0"/>
        <w:adjustRightInd w:val="0"/>
        <w:snapToGrid w:val="0"/>
        <w:spacing w:line="680" w:lineRule="exact"/>
        <w:ind w:firstLine="640" w:firstLineChars="200"/>
        <w:textAlignment w:val="auto"/>
        <w:rPr>
          <w:rFonts w:hint="eastAsia"/>
          <w:color w:val="auto"/>
        </w:rPr>
      </w:pPr>
      <w:r>
        <w:rPr>
          <w:rFonts w:hint="eastAsia"/>
          <w:color w:val="auto"/>
        </w:rPr>
        <w:t>我们接受委托，对</w:t>
      </w:r>
      <w:r>
        <w:rPr>
          <w:rFonts w:hint="eastAsia"/>
          <w:color w:val="auto"/>
          <w:lang w:eastAsia="zh-CN"/>
        </w:rPr>
        <w:t>遂宁市河东新区紫竹路幼儿园</w:t>
      </w:r>
      <w:r>
        <w:rPr>
          <w:rFonts w:hint="eastAsia"/>
          <w:color w:val="auto"/>
          <w:lang w:val="en-US" w:eastAsia="zh-CN"/>
        </w:rPr>
        <w:t>部门整体</w:t>
      </w:r>
      <w:r>
        <w:rPr>
          <w:rFonts w:hint="eastAsia"/>
          <w:color w:val="auto"/>
        </w:rPr>
        <w:t>进行绩效评价。</w:t>
      </w:r>
      <w:r>
        <w:rPr>
          <w:rFonts w:hint="eastAsia"/>
          <w:color w:val="auto"/>
          <w:lang w:eastAsia="zh-CN"/>
        </w:rPr>
        <w:t>遂宁市河东新区紫竹路幼儿园</w:t>
      </w:r>
      <w:r>
        <w:rPr>
          <w:rFonts w:hint="eastAsia"/>
          <w:color w:val="auto"/>
        </w:rPr>
        <w:t>对提供的相关资料的真实性、合法性、完整性负责。我们的责任是在</w:t>
      </w:r>
      <w:r>
        <w:rPr>
          <w:rFonts w:hint="eastAsia"/>
          <w:color w:val="auto"/>
          <w:lang w:eastAsia="zh-CN"/>
        </w:rPr>
        <w:t>遂宁市河东新区紫竹路幼儿园</w:t>
      </w:r>
      <w:r>
        <w:rPr>
          <w:rFonts w:hint="eastAsia"/>
          <w:color w:val="auto"/>
        </w:rPr>
        <w:t>提供的资料基础上发表绩效评价意见。我们依据《中共四川省委 四川省人民政府 关于全面实施预算绩效管理的实施意见》（川委发〔2019〕8号）、财政部《项目支出绩效评价管理办法》</w:t>
      </w:r>
      <w:r>
        <w:rPr>
          <w:rFonts w:hint="eastAsia"/>
          <w:color w:val="auto"/>
          <w:lang w:eastAsia="zh-CN"/>
        </w:rPr>
        <w:t>（</w:t>
      </w:r>
      <w:r>
        <w:rPr>
          <w:rFonts w:hint="eastAsia"/>
          <w:color w:val="auto"/>
        </w:rPr>
        <w:t>财预〔2020〕10号）和四川省财政厅《关于四川省财政支出绩效评价操作规程（试行）》（川财绩〔2018〕2号）、遂宁市河东新区财政金融国资管理局《关于开展2022年财政重点绩效评价工作的通知》（遂东区财发〔2022〕8号）等相关文件规定基础上进行绩效评价工作。</w:t>
      </w:r>
    </w:p>
    <w:p w14:paraId="29E4914D">
      <w:pPr>
        <w:pStyle w:val="4"/>
        <w:keepNext w:val="0"/>
        <w:keepLines w:val="0"/>
        <w:pageBreakBefore w:val="0"/>
        <w:widowControl/>
        <w:kinsoku/>
        <w:wordWrap/>
        <w:overflowPunct/>
        <w:topLinePunct w:val="0"/>
        <w:autoSpaceDE/>
        <w:autoSpaceDN/>
        <w:bidi w:val="0"/>
        <w:adjustRightInd w:val="0"/>
        <w:snapToGrid w:val="0"/>
        <w:spacing w:line="680" w:lineRule="exact"/>
        <w:ind w:firstLine="640" w:firstLineChars="200"/>
        <w:textAlignment w:val="auto"/>
        <w:rPr>
          <w:rFonts w:hint="eastAsia"/>
          <w:color w:val="auto"/>
        </w:rPr>
        <w:sectPr>
          <w:footerReference r:id="rId9" w:type="default"/>
          <w:pgSz w:w="11906" w:h="16838"/>
          <w:pgMar w:top="1440" w:right="1489" w:bottom="1440" w:left="1797" w:header="851" w:footer="992" w:gutter="0"/>
          <w:pgNumType w:fmt="decimal" w:start="1"/>
          <w:cols w:space="425" w:num="1"/>
          <w:docGrid w:type="lines" w:linePitch="312" w:charSpace="0"/>
        </w:sectPr>
      </w:pPr>
      <w:r>
        <w:rPr>
          <w:rFonts w:hint="eastAsia"/>
          <w:color w:val="auto"/>
        </w:rPr>
        <w:t>在评价过程中，评价组结合该项目的实际情况，实地核查相关内设机构的资料，现将评价情况报告如下：</w:t>
      </w:r>
    </w:p>
    <w:p w14:paraId="06A2D0AF">
      <w:pPr>
        <w:pStyle w:val="3"/>
        <w:pageBreakBefore w:val="0"/>
        <w:numPr>
          <w:ilvl w:val="0"/>
          <w:numId w:val="0"/>
        </w:numPr>
        <w:kinsoku/>
        <w:wordWrap/>
        <w:overflowPunct/>
        <w:topLinePunct w:val="0"/>
        <w:autoSpaceDE/>
        <w:autoSpaceDN/>
        <w:bidi w:val="0"/>
        <w:spacing w:line="560" w:lineRule="exact"/>
        <w:ind w:leftChars="200"/>
        <w:rPr>
          <w:rFonts w:hint="eastAsia"/>
          <w:color w:val="auto"/>
        </w:rPr>
      </w:pPr>
      <w:bookmarkStart w:id="509" w:name="_Toc6741"/>
      <w:bookmarkStart w:id="510" w:name="_Toc19006"/>
      <w:r>
        <w:rPr>
          <w:rFonts w:hint="eastAsia"/>
          <w:color w:val="auto"/>
          <w:lang w:eastAsia="zh-CN"/>
        </w:rPr>
        <w:t>一、</w:t>
      </w:r>
      <w:r>
        <w:rPr>
          <w:rFonts w:hint="eastAsia"/>
          <w:color w:val="auto"/>
        </w:rPr>
        <w:t>部门（单位）概况</w:t>
      </w:r>
      <w:bookmarkEnd w:id="509"/>
      <w:bookmarkEnd w:id="510"/>
    </w:p>
    <w:p w14:paraId="0D41552A">
      <w:pPr>
        <w:pStyle w:val="5"/>
        <w:pageBreakBefore w:val="0"/>
        <w:kinsoku/>
        <w:wordWrap/>
        <w:overflowPunct/>
        <w:topLinePunct w:val="0"/>
        <w:autoSpaceDE/>
        <w:autoSpaceDN/>
        <w:bidi w:val="0"/>
        <w:adjustRightInd/>
        <w:spacing w:line="560" w:lineRule="exact"/>
        <w:ind w:firstLine="643" w:firstLineChars="200"/>
        <w:rPr>
          <w:rFonts w:hint="eastAsia"/>
          <w:color w:val="auto"/>
          <w:highlight w:val="none"/>
        </w:rPr>
      </w:pPr>
      <w:bookmarkStart w:id="511" w:name="_Toc15196"/>
      <w:bookmarkStart w:id="512" w:name="_Toc1000"/>
      <w:r>
        <w:rPr>
          <w:rFonts w:hint="eastAsia"/>
          <w:color w:val="auto"/>
          <w:highlight w:val="none"/>
        </w:rPr>
        <w:t>机构职能</w:t>
      </w:r>
      <w:bookmarkEnd w:id="511"/>
      <w:bookmarkEnd w:id="512"/>
    </w:p>
    <w:p w14:paraId="624CFCF3">
      <w:pPr>
        <w:pStyle w:val="4"/>
        <w:pageBreakBefore w:val="0"/>
        <w:kinsoku/>
        <w:wordWrap/>
        <w:overflowPunct/>
        <w:topLinePunct w:val="0"/>
        <w:autoSpaceDE/>
        <w:autoSpaceDN/>
        <w:bidi w:val="0"/>
        <w:spacing w:line="560" w:lineRule="exact"/>
        <w:ind w:firstLine="640" w:firstLineChars="200"/>
        <w:rPr>
          <w:rFonts w:hint="default" w:ascii="宋体" w:hAnsi="宋体" w:cs="宋体"/>
          <w:b w:val="0"/>
          <w:bCs w:val="0"/>
          <w:color w:val="auto"/>
          <w:szCs w:val="21"/>
          <w:lang w:val="en-US" w:eastAsia="zh-CN"/>
        </w:rPr>
      </w:pPr>
      <w:r>
        <w:rPr>
          <w:rFonts w:hint="eastAsia" w:ascii="宋体" w:hAnsi="宋体" w:cs="宋体"/>
          <w:b w:val="0"/>
          <w:bCs w:val="0"/>
          <w:color w:val="auto"/>
          <w:szCs w:val="21"/>
          <w:lang w:val="en-US" w:eastAsia="zh-CN"/>
        </w:rPr>
        <w:t>遂宁市河东新区紫竹路幼儿园（以下简称“紫竹路幼儿园”）是遂宁市河东新区管委会所属公益二类事业单位，主要承担幼儿德、智、体、美等方面学前教育，实行保育与教育相结合，促进其身心和谐发展，面向社会服务。</w:t>
      </w:r>
    </w:p>
    <w:p w14:paraId="3120721D">
      <w:pPr>
        <w:pStyle w:val="5"/>
        <w:pageBreakBefore w:val="0"/>
        <w:kinsoku/>
        <w:wordWrap/>
        <w:overflowPunct/>
        <w:topLinePunct w:val="0"/>
        <w:autoSpaceDE/>
        <w:autoSpaceDN/>
        <w:bidi w:val="0"/>
        <w:adjustRightInd/>
        <w:spacing w:line="560" w:lineRule="exact"/>
        <w:ind w:firstLine="643" w:firstLineChars="200"/>
        <w:rPr>
          <w:color w:val="auto"/>
          <w:highlight w:val="none"/>
        </w:rPr>
      </w:pPr>
      <w:bookmarkStart w:id="513" w:name="_Toc13729"/>
      <w:bookmarkStart w:id="514" w:name="_Toc13387"/>
      <w:r>
        <w:rPr>
          <w:rFonts w:hint="eastAsia"/>
          <w:color w:val="auto"/>
          <w:highlight w:val="none"/>
        </w:rPr>
        <w:t>机构组成</w:t>
      </w:r>
      <w:bookmarkEnd w:id="513"/>
      <w:bookmarkEnd w:id="514"/>
    </w:p>
    <w:p w14:paraId="0192F25B">
      <w:pPr>
        <w:pStyle w:val="4"/>
        <w:pageBreakBefore w:val="0"/>
        <w:kinsoku/>
        <w:wordWrap/>
        <w:overflowPunct/>
        <w:topLinePunct w:val="0"/>
        <w:autoSpaceDE/>
        <w:autoSpaceDN/>
        <w:bidi w:val="0"/>
        <w:spacing w:line="560" w:lineRule="exact"/>
        <w:ind w:firstLine="640" w:firstLineChars="200"/>
        <w:textAlignment w:val="auto"/>
        <w:rPr>
          <w:rFonts w:hint="eastAsia"/>
          <w:color w:val="auto"/>
          <w:lang w:val="en-US" w:eastAsia="zh-CN"/>
        </w:rPr>
      </w:pPr>
      <w:r>
        <w:rPr>
          <w:rFonts w:hint="eastAsia" w:ascii="宋体" w:hAnsi="宋体" w:cs="宋体"/>
          <w:b w:val="0"/>
          <w:bCs w:val="0"/>
          <w:color w:val="auto"/>
          <w:szCs w:val="21"/>
          <w:lang w:val="en-US" w:eastAsia="zh-CN"/>
        </w:rPr>
        <w:t>紫竹路幼儿园</w:t>
      </w:r>
      <w:r>
        <w:rPr>
          <w:rFonts w:hint="eastAsia"/>
          <w:color w:val="auto"/>
          <w:lang w:val="en-US" w:eastAsia="zh-CN"/>
        </w:rPr>
        <w:t>内设学校党支部办公室、内部控制领导小组、领导小组办公室、办公室四个机构，</w:t>
      </w:r>
      <w:r>
        <w:rPr>
          <w:rFonts w:hint="eastAsia" w:ascii="宋体" w:hAnsi="宋体" w:cs="宋体"/>
          <w:b w:val="0"/>
          <w:bCs w:val="0"/>
          <w:color w:val="auto"/>
          <w:szCs w:val="21"/>
          <w:lang w:val="en-US" w:eastAsia="zh-CN"/>
        </w:rPr>
        <w:t>设园长1名，副园长2名。</w:t>
      </w:r>
    </w:p>
    <w:p w14:paraId="1BB481B2">
      <w:pPr>
        <w:pStyle w:val="5"/>
        <w:pageBreakBefore w:val="0"/>
        <w:kinsoku/>
        <w:wordWrap/>
        <w:overflowPunct/>
        <w:topLinePunct w:val="0"/>
        <w:autoSpaceDE/>
        <w:autoSpaceDN/>
        <w:bidi w:val="0"/>
        <w:spacing w:line="560" w:lineRule="exact"/>
        <w:ind w:left="-13" w:leftChars="0" w:firstLine="643" w:firstLineChars="200"/>
        <w:textAlignment w:val="auto"/>
        <w:rPr>
          <w:color w:val="auto"/>
          <w:highlight w:val="none"/>
        </w:rPr>
      </w:pPr>
      <w:bookmarkStart w:id="515" w:name="_Toc31222"/>
      <w:bookmarkStart w:id="516" w:name="_Toc20908"/>
      <w:r>
        <w:rPr>
          <w:rFonts w:hint="eastAsia"/>
          <w:color w:val="auto"/>
          <w:highlight w:val="none"/>
        </w:rPr>
        <w:t>人员概况</w:t>
      </w:r>
      <w:bookmarkEnd w:id="515"/>
      <w:bookmarkEnd w:id="516"/>
    </w:p>
    <w:p w14:paraId="5BB7CB14">
      <w:pPr>
        <w:pStyle w:val="4"/>
        <w:pageBreakBefore w:val="0"/>
        <w:kinsoku/>
        <w:wordWrap/>
        <w:overflowPunct/>
        <w:topLinePunct w:val="0"/>
        <w:autoSpaceDE/>
        <w:autoSpaceDN/>
        <w:bidi w:val="0"/>
        <w:spacing w:line="560" w:lineRule="exact"/>
        <w:ind w:firstLine="640" w:firstLineChars="200"/>
        <w:textAlignment w:val="auto"/>
        <w:rPr>
          <w:rFonts w:hint="default"/>
          <w:color w:val="auto"/>
          <w:highlight w:val="none"/>
          <w:lang w:val="en-US" w:eastAsia="zh-CN"/>
        </w:rPr>
      </w:pPr>
      <w:r>
        <w:rPr>
          <w:rFonts w:hint="eastAsia"/>
          <w:color w:val="auto"/>
          <w:highlight w:val="none"/>
          <w:lang w:val="en-US" w:eastAsia="zh-CN"/>
        </w:rPr>
        <w:t>截至2021年12月31日，</w:t>
      </w:r>
      <w:r>
        <w:rPr>
          <w:rFonts w:hint="eastAsia" w:ascii="宋体" w:hAnsi="宋体" w:cs="宋体"/>
          <w:b w:val="0"/>
          <w:bCs w:val="0"/>
          <w:color w:val="auto"/>
          <w:szCs w:val="21"/>
          <w:lang w:val="en-US" w:eastAsia="zh-CN"/>
        </w:rPr>
        <w:t>紫竹路幼儿园</w:t>
      </w:r>
      <w:r>
        <w:rPr>
          <w:rFonts w:hint="eastAsia"/>
          <w:color w:val="auto"/>
          <w:highlight w:val="none"/>
          <w:lang w:val="en-US" w:eastAsia="zh-CN"/>
        </w:rPr>
        <w:t>共有教职工90名，其中在编教师18人、编外教师33人、保育员16人、厨房工作人员8人、安保12人、保洁3人。</w:t>
      </w:r>
    </w:p>
    <w:p w14:paraId="18106BF3">
      <w:pPr>
        <w:pStyle w:val="5"/>
        <w:pageBreakBefore w:val="0"/>
        <w:numPr>
          <w:ilvl w:val="0"/>
          <w:numId w:val="2"/>
        </w:numPr>
        <w:kinsoku/>
        <w:wordWrap/>
        <w:overflowPunct/>
        <w:topLinePunct w:val="0"/>
        <w:autoSpaceDE/>
        <w:autoSpaceDN/>
        <w:bidi w:val="0"/>
        <w:adjustRightInd/>
        <w:spacing w:line="560" w:lineRule="exact"/>
        <w:ind w:left="0" w:leftChars="0" w:firstLine="643" w:firstLineChars="200"/>
        <w:rPr>
          <w:rFonts w:hint="eastAsia"/>
        </w:rPr>
      </w:pPr>
      <w:bookmarkStart w:id="517" w:name="_Toc29177"/>
      <w:bookmarkStart w:id="518" w:name="_Toc23004"/>
      <w:r>
        <w:rPr>
          <w:rFonts w:hint="eastAsia"/>
          <w:color w:val="auto"/>
        </w:rPr>
        <w:t>年度主要工作目标及重点工作</w:t>
      </w:r>
      <w:bookmarkEnd w:id="517"/>
      <w:bookmarkEnd w:id="518"/>
    </w:p>
    <w:p w14:paraId="4F3C0EFD">
      <w:pPr>
        <w:pStyle w:val="6"/>
        <w:pageBreakBefore w:val="0"/>
        <w:numPr>
          <w:ilvl w:val="2"/>
          <w:numId w:val="0"/>
        </w:numPr>
        <w:kinsoku/>
        <w:wordWrap/>
        <w:overflowPunct/>
        <w:topLinePunct w:val="0"/>
        <w:autoSpaceDE/>
        <w:autoSpaceDN/>
        <w:bidi w:val="0"/>
        <w:adjustRightInd/>
        <w:spacing w:line="560" w:lineRule="exact"/>
        <w:ind w:leftChars="0" w:firstLine="643" w:firstLineChars="200"/>
        <w:rPr>
          <w:rFonts w:hint="default"/>
          <w:b/>
          <w:bCs w:val="0"/>
          <w:color w:val="auto"/>
          <w:lang w:val="en-US" w:eastAsia="zh-CN"/>
        </w:rPr>
      </w:pPr>
      <w:r>
        <w:rPr>
          <w:rFonts w:hint="eastAsia"/>
          <w:b/>
          <w:bCs w:val="0"/>
          <w:color w:val="auto"/>
          <w:lang w:val="en-US" w:eastAsia="zh-CN"/>
        </w:rPr>
        <w:t>1.年度主要工作目标</w:t>
      </w:r>
    </w:p>
    <w:p w14:paraId="6749D590">
      <w:pPr>
        <w:pStyle w:val="4"/>
        <w:pageBreakBefore w:val="0"/>
        <w:kinsoku/>
        <w:wordWrap/>
        <w:overflowPunct/>
        <w:topLinePunct w:val="0"/>
        <w:autoSpaceDE/>
        <w:autoSpaceDN/>
        <w:bidi w:val="0"/>
        <w:spacing w:line="560" w:lineRule="exact"/>
        <w:ind w:firstLine="640" w:firstLineChars="200"/>
        <w:textAlignment w:val="auto"/>
        <w:rPr>
          <w:rFonts w:hint="eastAsia" w:eastAsia="仿宋" w:cstheme="minorBidi"/>
          <w:color w:val="auto"/>
          <w:kern w:val="2"/>
          <w:sz w:val="32"/>
          <w:szCs w:val="32"/>
          <w:lang w:val="en-US" w:eastAsia="zh-CN" w:bidi="ar-SA"/>
        </w:rPr>
      </w:pPr>
      <w:r>
        <w:rPr>
          <w:rFonts w:hint="eastAsia" w:eastAsia="仿宋" w:cstheme="minorBidi"/>
          <w:color w:val="auto"/>
          <w:kern w:val="2"/>
          <w:szCs w:val="32"/>
          <w:lang w:val="en-US" w:eastAsia="zh-CN"/>
        </w:rPr>
        <w:t>2021年，紫竹路幼儿园年度总体目标为</w:t>
      </w:r>
      <w:r>
        <w:rPr>
          <w:rFonts w:hint="eastAsia" w:eastAsia="仿宋" w:cstheme="minorBidi"/>
          <w:color w:val="auto"/>
          <w:kern w:val="2"/>
          <w:szCs w:val="32"/>
          <w:lang w:val="en-US"/>
        </w:rPr>
        <w:t>提高幼儿园基本运行保障能力，做好幼儿园教学教育管理工，及时足额保障教师工资福利；做到幼儿园日常工作有序开展，完成全年教育教学目标任务</w:t>
      </w:r>
      <w:r>
        <w:rPr>
          <w:rFonts w:hint="eastAsia" w:eastAsia="仿宋" w:cstheme="minorBidi"/>
          <w:color w:val="auto"/>
          <w:kern w:val="2"/>
          <w:szCs w:val="32"/>
          <w:lang w:val="en-US" w:eastAsia="zh-CN"/>
        </w:rPr>
        <w:t>。</w:t>
      </w:r>
    </w:p>
    <w:p w14:paraId="1D155946">
      <w:pPr>
        <w:pStyle w:val="6"/>
        <w:pageBreakBefore w:val="0"/>
        <w:numPr>
          <w:ilvl w:val="2"/>
          <w:numId w:val="0"/>
        </w:numPr>
        <w:kinsoku/>
        <w:wordWrap/>
        <w:overflowPunct/>
        <w:topLinePunct w:val="0"/>
        <w:autoSpaceDE/>
        <w:autoSpaceDN/>
        <w:bidi w:val="0"/>
        <w:spacing w:line="560" w:lineRule="exact"/>
        <w:ind w:firstLine="643" w:firstLineChars="200"/>
        <w:textAlignment w:val="auto"/>
        <w:rPr>
          <w:rFonts w:hint="eastAsia" w:eastAsia="仿宋" w:cstheme="minorBidi"/>
          <w:color w:val="auto"/>
          <w:kern w:val="2"/>
          <w:sz w:val="32"/>
          <w:szCs w:val="32"/>
          <w:highlight w:val="none"/>
          <w:lang w:val="en-US" w:eastAsia="zh-CN" w:bidi="ar-SA"/>
        </w:rPr>
      </w:pPr>
      <w:r>
        <w:rPr>
          <w:rFonts w:hint="eastAsia"/>
          <w:b/>
          <w:bCs w:val="0"/>
          <w:color w:val="auto"/>
          <w:szCs w:val="32"/>
          <w:highlight w:val="none"/>
          <w:lang w:val="en-US" w:eastAsia="zh-CN"/>
        </w:rPr>
        <w:t>2.强化党建工作</w:t>
      </w:r>
    </w:p>
    <w:p w14:paraId="50A3F974">
      <w:pPr>
        <w:pageBreakBefore w:val="0"/>
        <w:numPr>
          <w:ilvl w:val="0"/>
          <w:numId w:val="0"/>
        </w:numPr>
        <w:kinsoku/>
        <w:wordWrap/>
        <w:overflowPunct/>
        <w:topLinePunct w:val="0"/>
        <w:autoSpaceDE/>
        <w:autoSpaceDN/>
        <w:bidi w:val="0"/>
        <w:spacing w:line="560" w:lineRule="exact"/>
        <w:ind w:left="279" w:leftChars="133" w:firstLine="640" w:firstLineChars="200"/>
        <w:jc w:val="left"/>
        <w:textAlignment w:val="auto"/>
        <w:rPr>
          <w:rFonts w:hint="eastAsia" w:eastAsia="仿宋" w:cstheme="minorBidi"/>
          <w:color w:val="auto"/>
          <w:kern w:val="2"/>
          <w:sz w:val="32"/>
          <w:szCs w:val="32"/>
          <w:highlight w:val="none"/>
          <w:lang w:val="en-US" w:eastAsia="zh-CN" w:bidi="ar-SA"/>
        </w:rPr>
      </w:pPr>
      <w:r>
        <w:rPr>
          <w:rFonts w:hint="eastAsia" w:ascii="Times New Roman" w:hAnsi="Times New Roman" w:eastAsia="仿宋"/>
          <w:color w:val="auto"/>
          <w:sz w:val="32"/>
          <w:szCs w:val="32"/>
          <w:highlight w:val="none"/>
        </w:rPr>
        <w:t>组织开展党建知识基础学习教育活动，不断强化党员同志党性教育及政治业务理论水平</w:t>
      </w:r>
      <w:r>
        <w:rPr>
          <w:rFonts w:hint="eastAsia" w:ascii="Times New Roman" w:hAnsi="Times New Roman" w:eastAsia="仿宋"/>
          <w:color w:val="auto"/>
          <w:sz w:val="32"/>
          <w:szCs w:val="32"/>
          <w:highlight w:val="none"/>
          <w:lang w:eastAsia="zh-CN"/>
        </w:rPr>
        <w:t>；</w:t>
      </w:r>
      <w:r>
        <w:rPr>
          <w:rFonts w:hint="eastAsia" w:ascii="Times New Roman" w:hAnsi="Times New Roman" w:eastAsia="仿宋"/>
          <w:color w:val="auto"/>
          <w:sz w:val="32"/>
          <w:szCs w:val="32"/>
          <w:highlight w:val="none"/>
        </w:rPr>
        <w:t>不断探索党建亮点工作，开设以党员为引领的思政建设先锋岗、教师成长先锋岗、红色记忆先锋岗、教育教学先锋岗、雷锋精神先锋岗五大先锋岗</w:t>
      </w:r>
      <w:r>
        <w:rPr>
          <w:rFonts w:hint="eastAsia" w:ascii="Times New Roman" w:hAnsi="Times New Roman" w:eastAsia="仿宋"/>
          <w:color w:val="auto"/>
          <w:sz w:val="32"/>
          <w:szCs w:val="32"/>
          <w:highlight w:val="none"/>
          <w:lang w:eastAsia="zh-CN"/>
        </w:rPr>
        <w:t>；</w:t>
      </w:r>
      <w:r>
        <w:rPr>
          <w:rFonts w:hint="eastAsia" w:ascii="Times New Roman" w:hAnsi="Times New Roman" w:eastAsia="仿宋"/>
          <w:color w:val="auto"/>
          <w:sz w:val="32"/>
          <w:szCs w:val="32"/>
          <w:highlight w:val="none"/>
        </w:rPr>
        <w:t>开展教师党史故事朗诵、教师技能大练兵、道德宣讲志愿服务、观看红色电影系列活动提升全园教职工的政治思想素质。</w:t>
      </w:r>
    </w:p>
    <w:p w14:paraId="65CF440C">
      <w:pPr>
        <w:pStyle w:val="6"/>
        <w:pageBreakBefore w:val="0"/>
        <w:numPr>
          <w:ilvl w:val="2"/>
          <w:numId w:val="0"/>
        </w:numPr>
        <w:wordWrap/>
        <w:overflowPunct/>
        <w:topLinePunct w:val="0"/>
        <w:bidi w:val="0"/>
        <w:spacing w:line="560" w:lineRule="exact"/>
        <w:ind w:firstLine="964" w:firstLineChars="300"/>
        <w:rPr>
          <w:rFonts w:hint="default"/>
          <w:b/>
          <w:bCs w:val="0"/>
          <w:color w:val="auto"/>
          <w:highlight w:val="none"/>
          <w:lang w:val="en-US" w:eastAsia="zh-CN"/>
        </w:rPr>
      </w:pPr>
      <w:r>
        <w:rPr>
          <w:rFonts w:hint="eastAsia"/>
          <w:b/>
          <w:bCs w:val="0"/>
          <w:color w:val="auto"/>
          <w:highlight w:val="none"/>
          <w:lang w:val="en-US" w:eastAsia="zh-CN"/>
        </w:rPr>
        <w:t>3.强化安全工作</w:t>
      </w:r>
    </w:p>
    <w:p w14:paraId="0DFCEEF4">
      <w:pPr>
        <w:pageBreakBefore w:val="0"/>
        <w:numPr>
          <w:ilvl w:val="0"/>
          <w:numId w:val="0"/>
        </w:numPr>
        <w:wordWrap/>
        <w:overflowPunct/>
        <w:topLinePunct w:val="0"/>
        <w:bidi w:val="0"/>
        <w:spacing w:line="560" w:lineRule="exact"/>
        <w:ind w:left="279" w:leftChars="133" w:firstLine="640" w:firstLineChars="200"/>
        <w:jc w:val="left"/>
        <w:rPr>
          <w:rFonts w:hint="eastAsia" w:eastAsia="仿宋_GB2312" w:cs="Times New Roman"/>
          <w:bCs w:val="0"/>
          <w:color w:val="auto"/>
          <w:kern w:val="0"/>
          <w:sz w:val="32"/>
          <w:szCs w:val="28"/>
          <w:highlight w:val="none"/>
          <w:lang w:val="en-US" w:eastAsia="zh-CN" w:bidi="ar-SA"/>
        </w:rPr>
      </w:pPr>
      <w:r>
        <w:rPr>
          <w:rFonts w:hint="eastAsia" w:ascii="Times New Roman" w:hAnsi="Times New Roman" w:eastAsia="仿宋" w:cstheme="minorBidi"/>
          <w:color w:val="auto"/>
          <w:kern w:val="2"/>
          <w:sz w:val="32"/>
          <w:szCs w:val="32"/>
          <w:highlight w:val="none"/>
          <w:lang w:val="en-US" w:eastAsia="zh-CN" w:bidi="ar-SA"/>
        </w:rPr>
        <w:t>完善幼儿园安全管理制度和措施，按照抓早、抓小、抓苗头的要求，对幼儿园设施安全、食品安全、消防安全、周边交通安全等进行了全面排查和整治；梳理幼儿园安全应急相关工作，迎接市级安全应急专项调研；加强教职工的职业道德和心理健康教育，开展一对一谈心谈话、小组交流、集体会议等形式及时排查和化解工作中存在的问题和矛盾，严控聘用人员的政治审查工作，防止内部人员侵害幼儿事件的发生。</w:t>
      </w:r>
    </w:p>
    <w:p w14:paraId="6875AE29">
      <w:pPr>
        <w:pStyle w:val="6"/>
        <w:pageBreakBefore w:val="0"/>
        <w:numPr>
          <w:ilvl w:val="2"/>
          <w:numId w:val="0"/>
        </w:numPr>
        <w:kinsoku/>
        <w:wordWrap/>
        <w:overflowPunct/>
        <w:topLinePunct w:val="0"/>
        <w:autoSpaceDE/>
        <w:autoSpaceDN/>
        <w:bidi w:val="0"/>
        <w:adjustRightInd/>
        <w:spacing w:line="560" w:lineRule="exact"/>
        <w:ind w:leftChars="0" w:firstLine="643" w:firstLineChars="200"/>
        <w:rPr>
          <w:rFonts w:hint="default"/>
          <w:b/>
          <w:bCs w:val="0"/>
          <w:color w:val="auto"/>
          <w:lang w:val="en-US" w:eastAsia="zh-CN"/>
        </w:rPr>
      </w:pPr>
      <w:r>
        <w:rPr>
          <w:rFonts w:hint="eastAsia"/>
          <w:b/>
          <w:bCs w:val="0"/>
          <w:color w:val="auto"/>
          <w:lang w:val="en-US" w:eastAsia="zh-CN"/>
        </w:rPr>
        <w:t>4.强化特色教学工作</w:t>
      </w:r>
    </w:p>
    <w:p w14:paraId="3C57732F">
      <w:pPr>
        <w:pStyle w:val="4"/>
        <w:pageBreakBefore w:val="0"/>
        <w:wordWrap/>
        <w:overflowPunct/>
        <w:topLinePunct w:val="0"/>
        <w:bidi w:val="0"/>
        <w:spacing w:line="560" w:lineRule="exact"/>
        <w:ind w:left="0" w:leftChars="0" w:firstLine="640" w:firstLineChars="200"/>
        <w:rPr>
          <w:rFonts w:hint="default"/>
          <w:lang w:val="en-US" w:eastAsia="zh-CN"/>
        </w:rPr>
      </w:pPr>
      <w:r>
        <w:rPr>
          <w:rFonts w:hint="eastAsia"/>
          <w:lang w:val="en-US" w:eastAsia="zh-CN"/>
        </w:rPr>
        <w:t>以常规教育为基础，特色教育为亮</w:t>
      </w:r>
      <w:r>
        <w:rPr>
          <w:rFonts w:hint="eastAsia"/>
          <w:lang w:val="en-US"/>
        </w:rPr>
        <w:t>点创新发展为总体目标</w:t>
      </w:r>
      <w:r>
        <w:rPr>
          <w:rFonts w:hint="eastAsia"/>
          <w:lang w:val="en-US" w:eastAsia="zh-CN"/>
        </w:rPr>
        <w:t>，</w:t>
      </w:r>
      <w:r>
        <w:rPr>
          <w:rFonts w:hint="eastAsia"/>
          <w:lang w:val="en-US"/>
        </w:rPr>
        <w:t>鼓励老师加强常规教育，强化课程实施，打造特色品牌</w:t>
      </w:r>
      <w:r>
        <w:rPr>
          <w:rFonts w:hint="eastAsia"/>
          <w:lang w:val="en-US" w:eastAsia="zh-CN"/>
        </w:rPr>
        <w:t>；</w:t>
      </w:r>
      <w:r>
        <w:rPr>
          <w:rFonts w:hint="eastAsia"/>
          <w:lang w:val="en-US"/>
        </w:rPr>
        <w:t>以幼儿园园本特色课程、特色主题节，特色区域活动为导向成立特色小组，并以小组项目化形式组织开展特色教研活动</w:t>
      </w:r>
      <w:r>
        <w:rPr>
          <w:rFonts w:hint="eastAsia"/>
          <w:lang w:val="en-US" w:eastAsia="zh-CN"/>
        </w:rPr>
        <w:t>、</w:t>
      </w:r>
      <w:r>
        <w:rPr>
          <w:rFonts w:hint="eastAsia"/>
          <w:lang w:val="en-US"/>
        </w:rPr>
        <w:t>特色课堂</w:t>
      </w:r>
      <w:r>
        <w:rPr>
          <w:rFonts w:hint="eastAsia"/>
          <w:lang w:val="en-US" w:eastAsia="zh-CN"/>
        </w:rPr>
        <w:t>、</w:t>
      </w:r>
      <w:r>
        <w:rPr>
          <w:rFonts w:hint="eastAsia"/>
          <w:lang w:val="en-US"/>
        </w:rPr>
        <w:t>特色主题活动</w:t>
      </w:r>
      <w:r>
        <w:rPr>
          <w:rFonts w:hint="eastAsia"/>
          <w:lang w:val="en-US" w:eastAsia="zh-CN"/>
        </w:rPr>
        <w:t>等；</w:t>
      </w:r>
      <w:r>
        <w:rPr>
          <w:rFonts w:hint="eastAsia"/>
          <w:lang w:val="en-US"/>
        </w:rPr>
        <w:t>投入大量资金打造大型区域混龄游戏</w:t>
      </w:r>
      <w:r>
        <w:rPr>
          <w:rFonts w:hint="eastAsia"/>
          <w:lang w:val="en-US" w:eastAsia="zh-CN"/>
        </w:rPr>
        <w:t>“</w:t>
      </w:r>
      <w:r>
        <w:rPr>
          <w:rFonts w:hint="eastAsia"/>
          <w:lang w:val="en-US"/>
        </w:rPr>
        <w:t>奇奇乐园</w:t>
      </w:r>
      <w:r>
        <w:rPr>
          <w:rFonts w:hint="eastAsia"/>
          <w:lang w:val="en-US" w:eastAsia="zh-CN"/>
        </w:rPr>
        <w:t>”“</w:t>
      </w:r>
      <w:r>
        <w:rPr>
          <w:rFonts w:hint="eastAsia"/>
          <w:lang w:val="en-US"/>
        </w:rPr>
        <w:t>创意木工坊</w:t>
      </w:r>
      <w:r>
        <w:rPr>
          <w:rFonts w:hint="eastAsia"/>
          <w:lang w:val="en-US" w:eastAsia="zh-CN"/>
        </w:rPr>
        <w:t>”“</w:t>
      </w:r>
      <w:r>
        <w:rPr>
          <w:rFonts w:hint="eastAsia"/>
          <w:lang w:val="en-US"/>
        </w:rPr>
        <w:t>恐龙考古队</w:t>
      </w:r>
      <w:r>
        <w:rPr>
          <w:rFonts w:hint="eastAsia"/>
          <w:lang w:val="en-US" w:eastAsia="zh-CN"/>
        </w:rPr>
        <w:t>”“</w:t>
      </w:r>
      <w:r>
        <w:rPr>
          <w:rFonts w:hint="eastAsia"/>
          <w:lang w:val="en-US"/>
        </w:rPr>
        <w:t>玩转海洋球</w:t>
      </w:r>
      <w:r>
        <w:rPr>
          <w:rFonts w:hint="eastAsia"/>
          <w:lang w:val="en-US" w:eastAsia="zh-CN"/>
        </w:rPr>
        <w:t>”</w:t>
      </w:r>
      <w:r>
        <w:rPr>
          <w:rFonts w:hint="eastAsia"/>
          <w:lang w:val="en-US"/>
        </w:rPr>
        <w:t>等主题游戏区</w:t>
      </w:r>
      <w:r>
        <w:rPr>
          <w:rFonts w:hint="eastAsia"/>
          <w:lang w:val="en-US" w:eastAsia="zh-CN"/>
        </w:rPr>
        <w:t>，</w:t>
      </w:r>
      <w:r>
        <w:rPr>
          <w:rFonts w:hint="eastAsia"/>
          <w:lang w:val="en-US"/>
        </w:rPr>
        <w:t>为我园的课题研究提供行动指南，为我园的创新理念开创发展路径。</w:t>
      </w:r>
    </w:p>
    <w:p w14:paraId="2434DE2C">
      <w:pPr>
        <w:pStyle w:val="3"/>
        <w:pageBreakBefore w:val="0"/>
        <w:numPr>
          <w:ilvl w:val="0"/>
          <w:numId w:val="0"/>
        </w:numPr>
        <w:kinsoku/>
        <w:wordWrap/>
        <w:overflowPunct/>
        <w:topLinePunct w:val="0"/>
        <w:autoSpaceDE/>
        <w:autoSpaceDN/>
        <w:bidi w:val="0"/>
        <w:spacing w:line="560" w:lineRule="exact"/>
        <w:ind w:leftChars="200"/>
        <w:rPr>
          <w:rFonts w:hint="eastAsia"/>
          <w:color w:val="auto"/>
          <w:szCs w:val="32"/>
        </w:rPr>
      </w:pPr>
      <w:bookmarkStart w:id="519" w:name="_Toc7304"/>
      <w:bookmarkStart w:id="520" w:name="_Toc24474"/>
      <w:r>
        <w:rPr>
          <w:rFonts w:hint="eastAsia"/>
          <w:color w:val="auto"/>
          <w:szCs w:val="32"/>
          <w:lang w:val="en-US" w:eastAsia="zh-CN"/>
        </w:rPr>
        <w:t>二、预算编制及执行</w:t>
      </w:r>
      <w:r>
        <w:rPr>
          <w:rFonts w:hint="eastAsia"/>
          <w:color w:val="auto"/>
          <w:szCs w:val="32"/>
        </w:rPr>
        <w:t>情况</w:t>
      </w:r>
      <w:bookmarkEnd w:id="519"/>
      <w:bookmarkEnd w:id="520"/>
    </w:p>
    <w:p w14:paraId="3B5C8A1C">
      <w:pPr>
        <w:pStyle w:val="5"/>
        <w:pageBreakBefore w:val="0"/>
        <w:numPr>
          <w:ilvl w:val="1"/>
          <w:numId w:val="0"/>
        </w:numPr>
        <w:kinsoku/>
        <w:wordWrap/>
        <w:overflowPunct/>
        <w:topLinePunct w:val="0"/>
        <w:autoSpaceDE/>
        <w:autoSpaceDN/>
        <w:bidi w:val="0"/>
        <w:spacing w:line="560" w:lineRule="exact"/>
        <w:ind w:leftChars="0" w:firstLine="643" w:firstLineChars="200"/>
        <w:textAlignment w:val="auto"/>
        <w:rPr>
          <w:rFonts w:hint="eastAsia"/>
          <w:color w:val="auto"/>
          <w:lang w:val="en-US" w:eastAsia="zh-CN"/>
        </w:rPr>
      </w:pPr>
      <w:bookmarkStart w:id="521" w:name="_Toc3647"/>
      <w:bookmarkStart w:id="522" w:name="_Toc26533"/>
      <w:r>
        <w:rPr>
          <w:rFonts w:hint="eastAsia"/>
          <w:color w:val="auto"/>
          <w:lang w:val="en-US" w:eastAsia="zh-CN"/>
        </w:rPr>
        <w:t>（一）预算</w:t>
      </w:r>
      <w:r>
        <w:rPr>
          <w:rFonts w:hint="default"/>
          <w:color w:val="auto"/>
          <w:lang w:val="en-US" w:eastAsia="zh-CN"/>
        </w:rPr>
        <w:t>编制</w:t>
      </w:r>
      <w:r>
        <w:rPr>
          <w:rFonts w:hint="eastAsia"/>
          <w:color w:val="auto"/>
          <w:lang w:val="en-US" w:eastAsia="zh-CN"/>
        </w:rPr>
        <w:t>情况</w:t>
      </w:r>
      <w:bookmarkEnd w:id="521"/>
      <w:bookmarkEnd w:id="522"/>
    </w:p>
    <w:p w14:paraId="27C3825F">
      <w:pPr>
        <w:pStyle w:val="6"/>
        <w:pageBreakBefore w:val="0"/>
        <w:kinsoku/>
        <w:wordWrap/>
        <w:overflowPunct/>
        <w:topLinePunct w:val="0"/>
        <w:autoSpaceDE/>
        <w:autoSpaceDN/>
        <w:bidi w:val="0"/>
        <w:adjustRightInd/>
        <w:spacing w:line="560" w:lineRule="exact"/>
        <w:ind w:firstLine="643" w:firstLineChars="200"/>
        <w:rPr>
          <w:rFonts w:hint="eastAsia"/>
          <w:b/>
          <w:bCs w:val="0"/>
          <w:color w:val="auto"/>
        </w:rPr>
      </w:pPr>
      <w:r>
        <w:rPr>
          <w:rFonts w:hint="eastAsia"/>
          <w:b/>
          <w:bCs w:val="0"/>
          <w:color w:val="auto"/>
        </w:rPr>
        <w:t>部门收入情况</w:t>
      </w:r>
    </w:p>
    <w:p w14:paraId="269B4AC7">
      <w:pPr>
        <w:pStyle w:val="4"/>
        <w:pageBreakBefore w:val="0"/>
        <w:kinsoku/>
        <w:wordWrap/>
        <w:overflowPunct/>
        <w:topLinePunct w:val="0"/>
        <w:autoSpaceDE/>
        <w:autoSpaceDN/>
        <w:bidi w:val="0"/>
        <w:spacing w:line="560" w:lineRule="exact"/>
        <w:ind w:firstLine="640" w:firstLineChars="200"/>
        <w:textAlignment w:val="auto"/>
        <w:rPr>
          <w:rFonts w:hint="eastAsia" w:eastAsia="仿宋_GB2312"/>
          <w:color w:val="auto"/>
          <w:szCs w:val="32"/>
          <w:lang w:val="en-US" w:eastAsia="zh-CN"/>
        </w:rPr>
      </w:pPr>
      <w:r>
        <w:rPr>
          <w:rFonts w:hint="eastAsia"/>
          <w:color w:val="auto"/>
          <w:szCs w:val="32"/>
          <w:lang w:val="en-US" w:eastAsia="zh-CN"/>
        </w:rPr>
        <w:t>2021年，紫竹路幼儿园年初预算收入257.09万元，调整预算数为425.7万元，</w:t>
      </w:r>
      <w:r>
        <w:rPr>
          <w:color w:val="auto"/>
          <w:szCs w:val="32"/>
        </w:rPr>
        <w:t>决算</w:t>
      </w:r>
      <w:r>
        <w:rPr>
          <w:rFonts w:hint="eastAsia"/>
          <w:color w:val="auto"/>
          <w:szCs w:val="32"/>
          <w:lang w:val="en-US" w:eastAsia="zh-CN"/>
        </w:rPr>
        <w:t>数为</w:t>
      </w:r>
      <w:r>
        <w:rPr>
          <w:rFonts w:hint="eastAsia"/>
          <w:color w:val="auto"/>
          <w:szCs w:val="32"/>
        </w:rPr>
        <w:t>341.5万元</w:t>
      </w:r>
      <w:r>
        <w:rPr>
          <w:color w:val="auto"/>
          <w:szCs w:val="32"/>
        </w:rPr>
        <w:t>。</w:t>
      </w:r>
      <w:r>
        <w:rPr>
          <w:rFonts w:hint="eastAsia"/>
          <w:color w:val="auto"/>
          <w:szCs w:val="32"/>
          <w:lang w:val="en-US" w:eastAsia="zh-CN"/>
        </w:rPr>
        <w:t>收入来源为</w:t>
      </w:r>
      <w:r>
        <w:rPr>
          <w:color w:val="auto"/>
          <w:szCs w:val="32"/>
        </w:rPr>
        <w:t>一般公共预算财政拨款</w:t>
      </w:r>
      <w:r>
        <w:rPr>
          <w:rFonts w:hint="eastAsia"/>
          <w:color w:val="auto"/>
          <w:szCs w:val="32"/>
          <w:lang w:eastAsia="zh-CN"/>
        </w:rPr>
        <w:t>。</w:t>
      </w:r>
    </w:p>
    <w:p w14:paraId="2ED7417B">
      <w:pPr>
        <w:pStyle w:val="6"/>
        <w:pageBreakBefore w:val="0"/>
        <w:kinsoku/>
        <w:wordWrap/>
        <w:overflowPunct/>
        <w:topLinePunct w:val="0"/>
        <w:autoSpaceDE/>
        <w:autoSpaceDN/>
        <w:bidi w:val="0"/>
        <w:adjustRightInd/>
        <w:spacing w:line="560" w:lineRule="exact"/>
        <w:ind w:firstLine="643" w:firstLineChars="200"/>
        <w:rPr>
          <w:rFonts w:hint="eastAsia"/>
          <w:b/>
          <w:bCs w:val="0"/>
          <w:color w:val="auto"/>
        </w:rPr>
      </w:pPr>
      <w:r>
        <w:rPr>
          <w:rFonts w:hint="eastAsia"/>
          <w:b/>
          <w:bCs w:val="0"/>
          <w:color w:val="auto"/>
        </w:rPr>
        <w:t>部门支出</w:t>
      </w:r>
      <w:r>
        <w:rPr>
          <w:rFonts w:hint="eastAsia"/>
          <w:b/>
          <w:bCs w:val="0"/>
          <w:color w:val="auto"/>
          <w:lang w:val="en-US" w:eastAsia="zh-CN"/>
        </w:rPr>
        <w:t>及预算执行</w:t>
      </w:r>
      <w:r>
        <w:rPr>
          <w:rFonts w:hint="eastAsia"/>
          <w:b/>
          <w:bCs w:val="0"/>
          <w:color w:val="auto"/>
        </w:rPr>
        <w:t>情况</w:t>
      </w:r>
    </w:p>
    <w:p w14:paraId="59F66E0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
          <w:color w:val="auto"/>
          <w:sz w:val="32"/>
          <w:szCs w:val="32"/>
          <w:lang w:val="en-US" w:eastAsia="zh-CN"/>
        </w:rPr>
      </w:pPr>
      <w:r>
        <w:rPr>
          <w:rFonts w:hint="eastAsia" w:ascii="Times New Roman" w:hAnsi="Times New Roman" w:eastAsia="仿宋"/>
          <w:color w:val="auto"/>
          <w:sz w:val="32"/>
          <w:szCs w:val="32"/>
          <w:lang w:val="en-US" w:eastAsia="zh-CN"/>
        </w:rPr>
        <w:t>2021年，紫竹路幼儿园年初支出预算257.1万元（其中：基本支出257.1万元，项目支出0.00万元）；调整预算数为425.7万元（其中：基本支出233.9万元，项目支出191.8万元）；决算数为341.5万元（其中：基本支出233.9万元，项目支出107.6万元）。</w:t>
      </w:r>
    </w:p>
    <w:p w14:paraId="7EF764C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color w:val="auto"/>
        </w:rPr>
      </w:pPr>
      <w:r>
        <w:rPr>
          <w:rFonts w:hint="eastAsia" w:ascii="Times New Roman" w:hAnsi="Times New Roman" w:eastAsia="仿宋"/>
          <w:color w:val="auto"/>
          <w:sz w:val="32"/>
          <w:szCs w:val="32"/>
          <w:lang w:val="en-US" w:eastAsia="zh-CN"/>
        </w:rPr>
        <w:t>2021年收入预算执行进度80.21%。具体支出预决算情况见表1，项目支出明细见表2：</w:t>
      </w:r>
    </w:p>
    <w:p w14:paraId="03B1743E">
      <w:pPr>
        <w:pStyle w:val="12"/>
        <w:keepNext w:val="0"/>
        <w:keepLines w:val="0"/>
        <w:pageBreakBefore w:val="0"/>
        <w:widowControl w:val="0"/>
        <w:kinsoku/>
        <w:wordWrap/>
        <w:overflowPunct/>
        <w:topLinePunct w:val="0"/>
        <w:autoSpaceDE/>
        <w:autoSpaceDN/>
        <w:bidi w:val="0"/>
        <w:adjustRightInd/>
        <w:snapToGrid w:val="0"/>
        <w:spacing w:before="60" w:after="60" w:line="560" w:lineRule="exact"/>
        <w:ind w:left="0" w:leftChars="0" w:right="0" w:rightChars="0" w:firstLine="482" w:firstLineChars="200"/>
        <w:textAlignment w:val="auto"/>
        <w:outlineLvl w:val="9"/>
        <w:rPr>
          <w:color w:val="auto"/>
        </w:rPr>
      </w:pPr>
      <w:r>
        <w:rPr>
          <w:rFonts w:hint="eastAsia"/>
          <w:color w:val="auto"/>
        </w:rPr>
        <w:t>表</w:t>
      </w:r>
      <w:r>
        <w:rPr>
          <w:rFonts w:hint="eastAsia"/>
          <w:color w:val="auto"/>
          <w:lang w:val="en-US" w:eastAsia="zh-CN"/>
        </w:rPr>
        <w:t>1</w:t>
      </w:r>
      <w:r>
        <w:rPr>
          <w:color w:val="auto"/>
        </w:rPr>
        <w:t xml:space="preserve">  20</w:t>
      </w:r>
      <w:r>
        <w:rPr>
          <w:rFonts w:hint="eastAsia"/>
          <w:color w:val="auto"/>
          <w:lang w:val="en-US" w:eastAsia="zh-CN"/>
        </w:rPr>
        <w:t>21</w:t>
      </w:r>
      <w:r>
        <w:rPr>
          <w:color w:val="auto"/>
        </w:rPr>
        <w:t>年</w:t>
      </w:r>
      <w:r>
        <w:rPr>
          <w:rFonts w:hint="eastAsia"/>
          <w:color w:val="auto"/>
          <w:lang w:val="en-US" w:eastAsia="zh-CN"/>
        </w:rPr>
        <w:t>紫竹路幼儿园支出</w:t>
      </w:r>
      <w:r>
        <w:rPr>
          <w:color w:val="auto"/>
        </w:rPr>
        <w:t>预决算情况表</w:t>
      </w:r>
    </w:p>
    <w:p w14:paraId="6FCDADC8">
      <w:pPr>
        <w:pStyle w:val="12"/>
        <w:keepNext w:val="0"/>
        <w:keepLines w:val="0"/>
        <w:pageBreakBefore w:val="0"/>
        <w:widowControl w:val="0"/>
        <w:kinsoku/>
        <w:wordWrap/>
        <w:overflowPunct/>
        <w:topLinePunct w:val="0"/>
        <w:autoSpaceDE/>
        <w:autoSpaceDN/>
        <w:bidi w:val="0"/>
        <w:adjustRightInd/>
        <w:snapToGrid w:val="0"/>
        <w:spacing w:before="60" w:after="60" w:line="560" w:lineRule="exact"/>
        <w:ind w:left="0" w:leftChars="0" w:right="0" w:rightChars="0" w:firstLine="480" w:firstLineChars="200"/>
        <w:jc w:val="right"/>
        <w:textAlignment w:val="auto"/>
        <w:outlineLvl w:val="9"/>
        <w:rPr>
          <w:b w:val="0"/>
          <w:bCs/>
          <w:color w:val="auto"/>
        </w:rPr>
      </w:pPr>
      <w:r>
        <w:rPr>
          <w:rFonts w:hint="eastAsia"/>
          <w:b w:val="0"/>
          <w:bCs/>
          <w:color w:val="auto"/>
        </w:rPr>
        <w:t>单位</w:t>
      </w:r>
      <w:r>
        <w:rPr>
          <w:b w:val="0"/>
          <w:bCs/>
          <w:color w:val="auto"/>
        </w:rPr>
        <w:t>：万元</w:t>
      </w:r>
    </w:p>
    <w:tbl>
      <w:tblPr>
        <w:tblStyle w:val="10"/>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2"/>
        <w:gridCol w:w="1768"/>
        <w:gridCol w:w="1768"/>
        <w:gridCol w:w="1768"/>
        <w:gridCol w:w="1768"/>
      </w:tblGrid>
      <w:tr w14:paraId="667E2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762" w:type="dxa"/>
            <w:vAlign w:val="center"/>
          </w:tcPr>
          <w:p w14:paraId="5CDBC5B2">
            <w:pPr>
              <w:keepNext w:val="0"/>
              <w:keepLines w:val="0"/>
              <w:pageBreakBefore w:val="0"/>
              <w:widowControl/>
              <w:suppressLineNumbers w:val="0"/>
              <w:wordWrap/>
              <w:overflowPunct/>
              <w:topLinePunct w:val="0"/>
              <w:bidi w:val="0"/>
              <w:spacing w:line="560" w:lineRule="exact"/>
              <w:jc w:val="center"/>
              <w:textAlignment w:val="center"/>
              <w:rPr>
                <w:rFonts w:ascii="Times New Roman" w:hAnsi="Times New Roman" w:eastAsia="宋体" w:cs="宋体"/>
                <w:b/>
                <w:bCs w:val="0"/>
                <w:color w:val="auto"/>
                <w:kern w:val="0"/>
                <w:sz w:val="22"/>
                <w:szCs w:val="22"/>
                <w:lang w:val="zh-CN" w:eastAsia="zh-CN" w:bidi="ar-SA"/>
              </w:rPr>
            </w:pPr>
            <w:r>
              <w:rPr>
                <w:rFonts w:hint="eastAsia" w:ascii="宋体" w:hAnsi="宋体" w:eastAsia="宋体" w:cs="宋体"/>
                <w:b/>
                <w:bCs/>
                <w:i w:val="0"/>
                <w:iCs w:val="0"/>
                <w:color w:val="000000"/>
                <w:kern w:val="0"/>
                <w:sz w:val="22"/>
                <w:szCs w:val="22"/>
                <w:u w:val="none"/>
                <w:lang w:val="en-US" w:eastAsia="zh-CN" w:bidi="ar"/>
              </w:rPr>
              <w:t>类别</w:t>
            </w:r>
          </w:p>
        </w:tc>
        <w:tc>
          <w:tcPr>
            <w:tcW w:w="1768" w:type="dxa"/>
            <w:vAlign w:val="center"/>
          </w:tcPr>
          <w:p w14:paraId="34D7DF4D">
            <w:pPr>
              <w:keepNext w:val="0"/>
              <w:keepLines w:val="0"/>
              <w:pageBreakBefore w:val="0"/>
              <w:widowControl/>
              <w:suppressLineNumbers w:val="0"/>
              <w:wordWrap/>
              <w:overflowPunct/>
              <w:topLinePunct w:val="0"/>
              <w:bidi w:val="0"/>
              <w:spacing w:line="560" w:lineRule="exact"/>
              <w:jc w:val="center"/>
              <w:textAlignment w:val="center"/>
              <w:rPr>
                <w:rFonts w:ascii="Times New Roman" w:hAnsi="Times New Roman" w:eastAsia="宋体" w:cs="宋体"/>
                <w:b/>
                <w:bCs w:val="0"/>
                <w:color w:val="auto"/>
                <w:kern w:val="0"/>
                <w:sz w:val="22"/>
                <w:szCs w:val="22"/>
                <w:lang w:val="zh-CN" w:eastAsia="zh-CN" w:bidi="ar-SA"/>
              </w:rPr>
            </w:pPr>
            <w:r>
              <w:rPr>
                <w:rFonts w:hint="eastAsia" w:ascii="宋体" w:hAnsi="宋体" w:eastAsia="宋体" w:cs="宋体"/>
                <w:b/>
                <w:bCs/>
                <w:i w:val="0"/>
                <w:iCs w:val="0"/>
                <w:color w:val="000000"/>
                <w:kern w:val="0"/>
                <w:sz w:val="22"/>
                <w:szCs w:val="22"/>
                <w:u w:val="none"/>
                <w:lang w:val="en-US" w:eastAsia="zh-CN" w:bidi="ar"/>
              </w:rPr>
              <w:t>预算数</w:t>
            </w:r>
          </w:p>
        </w:tc>
        <w:tc>
          <w:tcPr>
            <w:tcW w:w="1768" w:type="dxa"/>
            <w:vAlign w:val="center"/>
          </w:tcPr>
          <w:p w14:paraId="16EA06AC">
            <w:pPr>
              <w:keepNext w:val="0"/>
              <w:keepLines w:val="0"/>
              <w:pageBreakBefore w:val="0"/>
              <w:widowControl/>
              <w:suppressLineNumbers w:val="0"/>
              <w:wordWrap/>
              <w:overflowPunct/>
              <w:topLinePunct w:val="0"/>
              <w:bidi w:val="0"/>
              <w:spacing w:line="560" w:lineRule="exact"/>
              <w:jc w:val="center"/>
              <w:textAlignment w:val="center"/>
              <w:rPr>
                <w:rFonts w:hint="default" w:ascii="Times New Roman" w:hAnsi="Times New Roman" w:eastAsia="宋体" w:cs="宋体"/>
                <w:b/>
                <w:bCs w:val="0"/>
                <w:color w:val="auto"/>
                <w:kern w:val="0"/>
                <w:sz w:val="22"/>
                <w:szCs w:val="22"/>
                <w:lang w:val="en-US" w:eastAsia="zh-CN" w:bidi="ar-SA"/>
              </w:rPr>
            </w:pPr>
            <w:r>
              <w:rPr>
                <w:rFonts w:hint="eastAsia" w:ascii="宋体" w:hAnsi="宋体" w:eastAsia="宋体" w:cs="宋体"/>
                <w:b/>
                <w:bCs/>
                <w:i w:val="0"/>
                <w:iCs w:val="0"/>
                <w:color w:val="000000"/>
                <w:kern w:val="0"/>
                <w:sz w:val="22"/>
                <w:szCs w:val="22"/>
                <w:u w:val="none"/>
                <w:lang w:val="en-US" w:eastAsia="zh-CN" w:bidi="ar"/>
              </w:rPr>
              <w:t>调整数</w:t>
            </w:r>
          </w:p>
        </w:tc>
        <w:tc>
          <w:tcPr>
            <w:tcW w:w="1768" w:type="dxa"/>
            <w:vAlign w:val="center"/>
          </w:tcPr>
          <w:p w14:paraId="4DED46E8">
            <w:pPr>
              <w:keepNext w:val="0"/>
              <w:keepLines w:val="0"/>
              <w:pageBreakBefore w:val="0"/>
              <w:widowControl/>
              <w:suppressLineNumbers w:val="0"/>
              <w:wordWrap/>
              <w:overflowPunct/>
              <w:topLinePunct w:val="0"/>
              <w:bidi w:val="0"/>
              <w:spacing w:line="560" w:lineRule="exact"/>
              <w:jc w:val="center"/>
              <w:textAlignment w:val="center"/>
              <w:rPr>
                <w:rFonts w:ascii="Times New Roman" w:hAnsi="Times New Roman" w:eastAsia="宋体" w:cs="宋体"/>
                <w:b/>
                <w:bCs w:val="0"/>
                <w:color w:val="auto"/>
                <w:kern w:val="0"/>
                <w:sz w:val="22"/>
                <w:szCs w:val="22"/>
                <w:lang w:val="zh-CN" w:eastAsia="zh-CN" w:bidi="ar-SA"/>
              </w:rPr>
            </w:pPr>
            <w:r>
              <w:rPr>
                <w:rFonts w:hint="eastAsia" w:ascii="宋体" w:hAnsi="宋体" w:eastAsia="宋体" w:cs="宋体"/>
                <w:b/>
                <w:bCs/>
                <w:i w:val="0"/>
                <w:iCs w:val="0"/>
                <w:color w:val="000000"/>
                <w:kern w:val="0"/>
                <w:sz w:val="22"/>
                <w:szCs w:val="22"/>
                <w:u w:val="none"/>
                <w:lang w:val="en-US" w:eastAsia="zh-CN" w:bidi="ar"/>
              </w:rPr>
              <w:t>决算数</w:t>
            </w:r>
          </w:p>
        </w:tc>
        <w:tc>
          <w:tcPr>
            <w:tcW w:w="1768" w:type="dxa"/>
            <w:vAlign w:val="center"/>
          </w:tcPr>
          <w:p w14:paraId="76E1E5A4">
            <w:pPr>
              <w:keepNext w:val="0"/>
              <w:keepLines w:val="0"/>
              <w:pageBreakBefore w:val="0"/>
              <w:widowControl/>
              <w:suppressLineNumbers w:val="0"/>
              <w:wordWrap/>
              <w:overflowPunct/>
              <w:topLinePunct w:val="0"/>
              <w:bidi w:val="0"/>
              <w:spacing w:line="560" w:lineRule="exact"/>
              <w:jc w:val="center"/>
              <w:textAlignment w:val="center"/>
              <w:rPr>
                <w:rFonts w:hint="eastAsia" w:ascii="Times New Roman" w:hAnsi="Times New Roman" w:eastAsia="宋体" w:cs="宋体"/>
                <w:b/>
                <w:bCs w:val="0"/>
                <w:color w:val="auto"/>
                <w:kern w:val="0"/>
                <w:sz w:val="22"/>
                <w:szCs w:val="22"/>
                <w:lang w:val="en-US" w:eastAsia="zh-Hans" w:bidi="ar-SA"/>
              </w:rPr>
            </w:pPr>
            <w:r>
              <w:rPr>
                <w:rFonts w:hint="eastAsia" w:ascii="宋体" w:hAnsi="宋体" w:eastAsia="宋体" w:cs="宋体"/>
                <w:b/>
                <w:bCs/>
                <w:i w:val="0"/>
                <w:iCs w:val="0"/>
                <w:color w:val="000000"/>
                <w:kern w:val="0"/>
                <w:sz w:val="22"/>
                <w:szCs w:val="22"/>
                <w:u w:val="none"/>
                <w:lang w:val="en-US" w:eastAsia="zh-CN" w:bidi="ar"/>
              </w:rPr>
              <w:t>预算执行率</w:t>
            </w:r>
          </w:p>
        </w:tc>
      </w:tr>
      <w:tr w14:paraId="14823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762" w:type="dxa"/>
            <w:vAlign w:val="center"/>
          </w:tcPr>
          <w:p w14:paraId="607227E7">
            <w:pPr>
              <w:keepNext w:val="0"/>
              <w:keepLines w:val="0"/>
              <w:pageBreakBefore w:val="0"/>
              <w:widowControl/>
              <w:suppressLineNumbers w:val="0"/>
              <w:wordWrap/>
              <w:overflowPunct/>
              <w:topLinePunct w:val="0"/>
              <w:bidi w:val="0"/>
              <w:spacing w:line="560" w:lineRule="exact"/>
              <w:jc w:val="center"/>
              <w:textAlignment w:val="center"/>
              <w:rPr>
                <w:rFonts w:ascii="Times New Roman" w:hAnsi="Times New Roman" w:eastAsia="宋体" w:cs="宋体"/>
                <w:bCs/>
                <w:color w:val="auto"/>
                <w:kern w:val="0"/>
                <w:sz w:val="22"/>
                <w:szCs w:val="22"/>
                <w:lang w:val="zh-CN" w:eastAsia="zh-CN" w:bidi="ar-SA"/>
              </w:rPr>
            </w:pPr>
            <w:r>
              <w:rPr>
                <w:rFonts w:hint="eastAsia" w:ascii="宋体" w:hAnsi="宋体" w:eastAsia="宋体" w:cs="宋体"/>
                <w:i w:val="0"/>
                <w:iCs w:val="0"/>
                <w:color w:val="000000"/>
                <w:kern w:val="0"/>
                <w:sz w:val="22"/>
                <w:szCs w:val="22"/>
                <w:u w:val="none"/>
                <w:lang w:val="en-US" w:eastAsia="zh-CN" w:bidi="ar"/>
              </w:rPr>
              <w:t>基本支出</w:t>
            </w:r>
          </w:p>
        </w:tc>
        <w:tc>
          <w:tcPr>
            <w:tcW w:w="1768" w:type="dxa"/>
            <w:vAlign w:val="center"/>
          </w:tcPr>
          <w:p w14:paraId="08795AC2">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257.1</w:t>
            </w:r>
          </w:p>
        </w:tc>
        <w:tc>
          <w:tcPr>
            <w:tcW w:w="1768" w:type="dxa"/>
            <w:vAlign w:val="center"/>
          </w:tcPr>
          <w:p w14:paraId="712F7C52">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233.9</w:t>
            </w:r>
          </w:p>
        </w:tc>
        <w:tc>
          <w:tcPr>
            <w:tcW w:w="1768" w:type="dxa"/>
            <w:vAlign w:val="center"/>
          </w:tcPr>
          <w:p w14:paraId="7A4A4B13">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233.9</w:t>
            </w:r>
          </w:p>
        </w:tc>
        <w:tc>
          <w:tcPr>
            <w:tcW w:w="1768" w:type="dxa"/>
            <w:vAlign w:val="center"/>
          </w:tcPr>
          <w:p w14:paraId="04608DD3">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100.00%</w:t>
            </w:r>
          </w:p>
        </w:tc>
      </w:tr>
      <w:tr w14:paraId="5E6E3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762" w:type="dxa"/>
            <w:vAlign w:val="center"/>
          </w:tcPr>
          <w:p w14:paraId="5DB04E49">
            <w:pPr>
              <w:keepNext w:val="0"/>
              <w:keepLines w:val="0"/>
              <w:pageBreakBefore w:val="0"/>
              <w:widowControl/>
              <w:suppressLineNumbers w:val="0"/>
              <w:wordWrap/>
              <w:overflowPunct/>
              <w:topLinePunct w:val="0"/>
              <w:bidi w:val="0"/>
              <w:spacing w:line="560" w:lineRule="exact"/>
              <w:jc w:val="center"/>
              <w:textAlignment w:val="center"/>
              <w:rPr>
                <w:rFonts w:ascii="Times New Roman" w:hAnsi="Times New Roman" w:eastAsia="宋体" w:cs="宋体"/>
                <w:bCs/>
                <w:color w:val="auto"/>
                <w:kern w:val="0"/>
                <w:sz w:val="22"/>
                <w:szCs w:val="22"/>
                <w:lang w:val="zh-CN" w:eastAsia="zh-CN" w:bidi="ar-SA"/>
              </w:rPr>
            </w:pPr>
            <w:r>
              <w:rPr>
                <w:rFonts w:hint="eastAsia" w:ascii="宋体" w:hAnsi="宋体" w:eastAsia="宋体" w:cs="宋体"/>
                <w:i w:val="0"/>
                <w:iCs w:val="0"/>
                <w:color w:val="000000"/>
                <w:kern w:val="0"/>
                <w:sz w:val="22"/>
                <w:szCs w:val="22"/>
                <w:u w:val="none"/>
                <w:lang w:val="en-US" w:eastAsia="zh-CN" w:bidi="ar"/>
              </w:rPr>
              <w:t>项目支出</w:t>
            </w:r>
          </w:p>
        </w:tc>
        <w:tc>
          <w:tcPr>
            <w:tcW w:w="1768" w:type="dxa"/>
            <w:vAlign w:val="center"/>
          </w:tcPr>
          <w:p w14:paraId="4E007041">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w:t>
            </w:r>
          </w:p>
        </w:tc>
        <w:tc>
          <w:tcPr>
            <w:tcW w:w="1768" w:type="dxa"/>
            <w:vAlign w:val="center"/>
          </w:tcPr>
          <w:p w14:paraId="4E36FC40">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zh-CN" w:eastAsia="zh-CN" w:bidi="ar"/>
              </w:rPr>
            </w:pPr>
            <w:r>
              <w:rPr>
                <w:rFonts w:hint="eastAsia" w:ascii="仿宋" w:hAnsi="仿宋" w:eastAsia="仿宋" w:cs="仿宋"/>
                <w:i w:val="0"/>
                <w:iCs w:val="0"/>
                <w:color w:val="000000"/>
                <w:kern w:val="0"/>
                <w:sz w:val="22"/>
                <w:szCs w:val="22"/>
                <w:u w:val="none"/>
                <w:lang w:val="en-US" w:eastAsia="zh-CN" w:bidi="ar"/>
              </w:rPr>
              <w:t>191.8</w:t>
            </w:r>
          </w:p>
        </w:tc>
        <w:tc>
          <w:tcPr>
            <w:tcW w:w="1768" w:type="dxa"/>
            <w:vAlign w:val="center"/>
          </w:tcPr>
          <w:p w14:paraId="1BDFDAC4">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zh-CN" w:eastAsia="zh-CN" w:bidi="ar"/>
              </w:rPr>
            </w:pPr>
            <w:r>
              <w:rPr>
                <w:rFonts w:hint="eastAsia" w:ascii="仿宋" w:hAnsi="仿宋" w:eastAsia="仿宋" w:cs="仿宋"/>
                <w:i w:val="0"/>
                <w:iCs w:val="0"/>
                <w:color w:val="000000"/>
                <w:kern w:val="0"/>
                <w:sz w:val="22"/>
                <w:szCs w:val="22"/>
                <w:u w:val="none"/>
                <w:lang w:val="en-US" w:eastAsia="zh-CN" w:bidi="ar"/>
              </w:rPr>
              <w:t>107.6</w:t>
            </w:r>
          </w:p>
        </w:tc>
        <w:tc>
          <w:tcPr>
            <w:tcW w:w="1768" w:type="dxa"/>
            <w:vAlign w:val="center"/>
          </w:tcPr>
          <w:p w14:paraId="144847FF">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zh-CN" w:eastAsia="zh-CN" w:bidi="ar"/>
              </w:rPr>
            </w:pPr>
            <w:r>
              <w:rPr>
                <w:rFonts w:hint="eastAsia" w:ascii="仿宋" w:hAnsi="仿宋" w:eastAsia="仿宋" w:cs="仿宋"/>
                <w:i w:val="0"/>
                <w:iCs w:val="0"/>
                <w:color w:val="000000"/>
                <w:kern w:val="0"/>
                <w:sz w:val="22"/>
                <w:szCs w:val="22"/>
                <w:u w:val="none"/>
                <w:lang w:val="en-US" w:eastAsia="zh-CN" w:bidi="ar"/>
              </w:rPr>
              <w:t>56.09%</w:t>
            </w:r>
          </w:p>
        </w:tc>
      </w:tr>
      <w:tr w14:paraId="21779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762" w:type="dxa"/>
            <w:vAlign w:val="center"/>
          </w:tcPr>
          <w:p w14:paraId="3579E6F1">
            <w:pPr>
              <w:keepNext w:val="0"/>
              <w:keepLines w:val="0"/>
              <w:pageBreakBefore w:val="0"/>
              <w:widowControl/>
              <w:suppressLineNumbers w:val="0"/>
              <w:wordWrap/>
              <w:overflowPunct/>
              <w:topLinePunct w:val="0"/>
              <w:bidi w:val="0"/>
              <w:spacing w:line="560" w:lineRule="exact"/>
              <w:jc w:val="center"/>
              <w:textAlignment w:val="center"/>
              <w:rPr>
                <w:rFonts w:hint="default" w:ascii="Times New Roman" w:hAnsi="Times New Roman" w:eastAsia="宋体" w:cs="宋体"/>
                <w:bCs/>
                <w:color w:val="auto"/>
                <w:kern w:val="0"/>
                <w:sz w:val="22"/>
                <w:szCs w:val="22"/>
                <w:lang w:val="en-US" w:eastAsia="zh-CN" w:bidi="ar-SA"/>
              </w:rPr>
            </w:pPr>
            <w:r>
              <w:rPr>
                <w:rFonts w:hint="eastAsia" w:ascii="宋体" w:hAnsi="宋体" w:eastAsia="宋体" w:cs="宋体"/>
                <w:i w:val="0"/>
                <w:iCs w:val="0"/>
                <w:color w:val="000000"/>
                <w:kern w:val="0"/>
                <w:sz w:val="22"/>
                <w:szCs w:val="22"/>
                <w:u w:val="none"/>
                <w:lang w:val="en-US" w:eastAsia="zh-CN" w:bidi="ar"/>
              </w:rPr>
              <w:t>合计</w:t>
            </w:r>
          </w:p>
        </w:tc>
        <w:tc>
          <w:tcPr>
            <w:tcW w:w="1768" w:type="dxa"/>
            <w:vAlign w:val="center"/>
          </w:tcPr>
          <w:p w14:paraId="147A7A73">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257.1</w:t>
            </w:r>
          </w:p>
        </w:tc>
        <w:tc>
          <w:tcPr>
            <w:tcW w:w="1768" w:type="dxa"/>
            <w:vAlign w:val="center"/>
          </w:tcPr>
          <w:p w14:paraId="6D01361D">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425.7</w:t>
            </w:r>
          </w:p>
        </w:tc>
        <w:tc>
          <w:tcPr>
            <w:tcW w:w="1768" w:type="dxa"/>
            <w:vAlign w:val="center"/>
          </w:tcPr>
          <w:p w14:paraId="0D110F00">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341.5</w:t>
            </w:r>
          </w:p>
        </w:tc>
        <w:tc>
          <w:tcPr>
            <w:tcW w:w="1768" w:type="dxa"/>
            <w:vAlign w:val="center"/>
          </w:tcPr>
          <w:p w14:paraId="055EF3FD">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80.21%</w:t>
            </w:r>
          </w:p>
        </w:tc>
      </w:tr>
    </w:tbl>
    <w:p w14:paraId="08ADC0A4">
      <w:pPr>
        <w:pStyle w:val="12"/>
        <w:pageBreakBefore w:val="0"/>
        <w:kinsoku/>
        <w:wordWrap/>
        <w:overflowPunct/>
        <w:topLinePunct w:val="0"/>
        <w:autoSpaceDE/>
        <w:autoSpaceDN/>
        <w:bidi w:val="0"/>
        <w:snapToGrid w:val="0"/>
        <w:spacing w:before="60" w:line="560" w:lineRule="exact"/>
        <w:ind w:left="0" w:leftChars="0" w:firstLine="482" w:firstLineChars="200"/>
        <w:outlineLvl w:val="9"/>
        <w:rPr>
          <w:rFonts w:hint="eastAsia"/>
          <w:color w:val="auto"/>
        </w:rPr>
      </w:pPr>
    </w:p>
    <w:p w14:paraId="1BE80F5C">
      <w:pPr>
        <w:pStyle w:val="12"/>
        <w:pageBreakBefore w:val="0"/>
        <w:kinsoku/>
        <w:wordWrap/>
        <w:overflowPunct/>
        <w:topLinePunct w:val="0"/>
        <w:autoSpaceDE/>
        <w:autoSpaceDN/>
        <w:bidi w:val="0"/>
        <w:snapToGrid w:val="0"/>
        <w:spacing w:before="60" w:line="560" w:lineRule="exact"/>
        <w:ind w:left="0" w:leftChars="0" w:firstLine="482" w:firstLineChars="200"/>
        <w:outlineLvl w:val="9"/>
        <w:rPr>
          <w:rFonts w:hint="eastAsia"/>
          <w:color w:val="auto"/>
        </w:rPr>
      </w:pPr>
      <w:r>
        <w:rPr>
          <w:rFonts w:hint="eastAsia"/>
          <w:color w:val="auto"/>
        </w:rPr>
        <w:t>表</w:t>
      </w:r>
      <w:r>
        <w:rPr>
          <w:rFonts w:hint="eastAsia"/>
          <w:color w:val="auto"/>
          <w:lang w:val="en-US" w:eastAsia="zh-CN"/>
        </w:rPr>
        <w:t xml:space="preserve">2 </w:t>
      </w:r>
      <w:r>
        <w:rPr>
          <w:color w:val="auto"/>
        </w:rPr>
        <w:t xml:space="preserve"> 20</w:t>
      </w:r>
      <w:r>
        <w:rPr>
          <w:rFonts w:hint="eastAsia"/>
          <w:color w:val="auto"/>
          <w:lang w:val="en-US" w:eastAsia="zh-CN"/>
        </w:rPr>
        <w:t>21</w:t>
      </w:r>
      <w:r>
        <w:rPr>
          <w:color w:val="auto"/>
        </w:rPr>
        <w:t>年</w:t>
      </w:r>
      <w:r>
        <w:rPr>
          <w:rFonts w:hint="eastAsia"/>
          <w:color w:val="auto"/>
          <w:lang w:val="en-US" w:eastAsia="zh-CN"/>
        </w:rPr>
        <w:t>紫竹路幼儿园</w:t>
      </w:r>
      <w:r>
        <w:rPr>
          <w:rFonts w:hint="eastAsia"/>
          <w:color w:val="auto"/>
        </w:rPr>
        <w:t>项目支出明细表</w:t>
      </w:r>
    </w:p>
    <w:p w14:paraId="176D03E5">
      <w:pPr>
        <w:pStyle w:val="12"/>
        <w:pageBreakBefore w:val="0"/>
        <w:kinsoku/>
        <w:wordWrap/>
        <w:overflowPunct/>
        <w:topLinePunct w:val="0"/>
        <w:autoSpaceDE/>
        <w:autoSpaceDN/>
        <w:bidi w:val="0"/>
        <w:snapToGrid w:val="0"/>
        <w:spacing w:before="60" w:line="560" w:lineRule="exact"/>
        <w:ind w:left="0" w:leftChars="0" w:firstLine="480" w:firstLineChars="200"/>
        <w:jc w:val="right"/>
        <w:outlineLvl w:val="9"/>
        <w:rPr>
          <w:rFonts w:hint="eastAsia"/>
          <w:b w:val="0"/>
          <w:bCs/>
          <w:color w:val="auto"/>
          <w:lang w:val="en-US" w:eastAsia="zh-CN"/>
        </w:rPr>
      </w:pPr>
      <w:r>
        <w:rPr>
          <w:rFonts w:hint="eastAsia"/>
          <w:b w:val="0"/>
          <w:bCs/>
          <w:color w:val="auto"/>
          <w:lang w:val="en-US" w:eastAsia="zh-CN"/>
        </w:rPr>
        <w:t>单位：万元</w:t>
      </w:r>
    </w:p>
    <w:tbl>
      <w:tblPr>
        <w:tblStyle w:val="10"/>
        <w:tblW w:w="8618"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82"/>
        <w:gridCol w:w="2655"/>
        <w:gridCol w:w="1560"/>
        <w:gridCol w:w="1463"/>
        <w:gridCol w:w="1358"/>
      </w:tblGrid>
      <w:tr w14:paraId="57183E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158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7D90BF6">
            <w:pPr>
              <w:keepNext w:val="0"/>
              <w:keepLines w:val="0"/>
              <w:pageBreakBefore w:val="0"/>
              <w:widowControl/>
              <w:suppressLineNumbers w:val="0"/>
              <w:wordWrap/>
              <w:overflowPunct/>
              <w:topLinePunct w:val="0"/>
              <w:bidi w:val="0"/>
              <w:spacing w:line="560" w:lineRule="exact"/>
              <w:jc w:val="center"/>
              <w:textAlignment w:val="center"/>
              <w:rPr>
                <w:rFonts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序号</w:t>
            </w:r>
          </w:p>
        </w:tc>
        <w:tc>
          <w:tcPr>
            <w:tcW w:w="2655" w:type="dxa"/>
            <w:tcBorders>
              <w:top w:val="single" w:color="000000" w:sz="8" w:space="0"/>
              <w:left w:val="nil"/>
              <w:bottom w:val="single" w:color="000000" w:sz="8" w:space="0"/>
              <w:right w:val="single" w:color="000000" w:sz="8" w:space="0"/>
            </w:tcBorders>
            <w:shd w:val="clear" w:color="auto" w:fill="auto"/>
            <w:vAlign w:val="center"/>
          </w:tcPr>
          <w:p w14:paraId="1768311D">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项目类别</w:t>
            </w:r>
            <w:r>
              <w:rPr>
                <w:rStyle w:val="18"/>
                <w:lang w:val="en-US" w:eastAsia="zh-CN" w:bidi="ar"/>
              </w:rPr>
              <w:t>/名称</w:t>
            </w:r>
          </w:p>
        </w:tc>
        <w:tc>
          <w:tcPr>
            <w:tcW w:w="1560" w:type="dxa"/>
            <w:tcBorders>
              <w:top w:val="single" w:color="000000" w:sz="8" w:space="0"/>
              <w:left w:val="nil"/>
              <w:bottom w:val="single" w:color="000000" w:sz="8" w:space="0"/>
              <w:right w:val="single" w:color="000000" w:sz="8" w:space="0"/>
            </w:tcBorders>
            <w:shd w:val="clear" w:color="auto" w:fill="auto"/>
            <w:vAlign w:val="center"/>
          </w:tcPr>
          <w:p w14:paraId="55C88B5D">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调整预算数</w:t>
            </w:r>
          </w:p>
        </w:tc>
        <w:tc>
          <w:tcPr>
            <w:tcW w:w="1463" w:type="dxa"/>
            <w:tcBorders>
              <w:top w:val="single" w:color="000000" w:sz="8" w:space="0"/>
              <w:left w:val="nil"/>
              <w:bottom w:val="single" w:color="000000" w:sz="8" w:space="0"/>
              <w:right w:val="single" w:color="000000" w:sz="8" w:space="0"/>
            </w:tcBorders>
            <w:shd w:val="clear" w:color="auto" w:fill="auto"/>
            <w:vAlign w:val="center"/>
          </w:tcPr>
          <w:p w14:paraId="3B2E2AAE">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实际支出数</w:t>
            </w:r>
          </w:p>
        </w:tc>
        <w:tc>
          <w:tcPr>
            <w:tcW w:w="1358" w:type="dxa"/>
            <w:tcBorders>
              <w:top w:val="single" w:color="000000" w:sz="8" w:space="0"/>
              <w:left w:val="nil"/>
              <w:bottom w:val="single" w:color="000000" w:sz="8" w:space="0"/>
              <w:right w:val="single" w:color="000000" w:sz="8" w:space="0"/>
            </w:tcBorders>
            <w:shd w:val="clear" w:color="auto" w:fill="auto"/>
            <w:vAlign w:val="center"/>
          </w:tcPr>
          <w:p w14:paraId="182FE20E">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预算执行率</w:t>
            </w:r>
          </w:p>
        </w:tc>
      </w:tr>
      <w:tr w14:paraId="11DDF0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82" w:type="dxa"/>
            <w:tcBorders>
              <w:top w:val="nil"/>
              <w:left w:val="single" w:color="000000" w:sz="8" w:space="0"/>
              <w:bottom w:val="single" w:color="000000" w:sz="8" w:space="0"/>
              <w:right w:val="single" w:color="000000" w:sz="8" w:space="0"/>
            </w:tcBorders>
            <w:shd w:val="clear" w:color="auto" w:fill="auto"/>
            <w:vAlign w:val="center"/>
          </w:tcPr>
          <w:p w14:paraId="3085446F">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2655" w:type="dxa"/>
            <w:tcBorders>
              <w:top w:val="nil"/>
              <w:left w:val="nil"/>
              <w:bottom w:val="single" w:color="000000" w:sz="8" w:space="0"/>
              <w:right w:val="single" w:color="000000" w:sz="8" w:space="0"/>
            </w:tcBorders>
            <w:shd w:val="clear" w:color="auto" w:fill="auto"/>
            <w:vAlign w:val="center"/>
          </w:tcPr>
          <w:p w14:paraId="74FFDC7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0"/>
                <w:szCs w:val="20"/>
                <w:u w:val="none"/>
              </w:rPr>
            </w:pPr>
            <w:r>
              <w:rPr>
                <w:rFonts w:hint="eastAsia" w:ascii="仿宋" w:hAnsi="仿宋" w:eastAsia="仿宋" w:cs="仿宋"/>
                <w:b/>
                <w:bCs/>
                <w:i w:val="0"/>
                <w:iCs w:val="0"/>
                <w:color w:val="000000"/>
                <w:kern w:val="0"/>
                <w:sz w:val="22"/>
                <w:szCs w:val="22"/>
                <w:u w:val="none"/>
                <w:lang w:val="en-US" w:eastAsia="zh-CN" w:bidi="ar"/>
              </w:rPr>
              <w:t>保育费</w:t>
            </w:r>
          </w:p>
        </w:tc>
        <w:tc>
          <w:tcPr>
            <w:tcW w:w="1560" w:type="dxa"/>
            <w:tcBorders>
              <w:top w:val="nil"/>
              <w:left w:val="nil"/>
              <w:bottom w:val="single" w:color="000000" w:sz="8" w:space="0"/>
              <w:right w:val="single" w:color="000000" w:sz="8" w:space="0"/>
            </w:tcBorders>
            <w:shd w:val="clear" w:color="auto" w:fill="auto"/>
            <w:vAlign w:val="center"/>
          </w:tcPr>
          <w:p w14:paraId="3D7D9399">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48.3</w:t>
            </w:r>
          </w:p>
        </w:tc>
        <w:tc>
          <w:tcPr>
            <w:tcW w:w="1463" w:type="dxa"/>
            <w:tcBorders>
              <w:top w:val="nil"/>
              <w:left w:val="nil"/>
              <w:bottom w:val="single" w:color="000000" w:sz="8" w:space="0"/>
              <w:right w:val="single" w:color="000000" w:sz="8" w:space="0"/>
            </w:tcBorders>
            <w:shd w:val="clear" w:color="auto" w:fill="auto"/>
            <w:vAlign w:val="center"/>
          </w:tcPr>
          <w:p w14:paraId="547D6571">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48.3</w:t>
            </w:r>
          </w:p>
        </w:tc>
        <w:tc>
          <w:tcPr>
            <w:tcW w:w="1358" w:type="dxa"/>
            <w:tcBorders>
              <w:top w:val="nil"/>
              <w:left w:val="nil"/>
              <w:bottom w:val="single" w:color="000000" w:sz="8" w:space="0"/>
              <w:right w:val="single" w:color="000000" w:sz="8" w:space="0"/>
            </w:tcBorders>
            <w:shd w:val="clear" w:color="auto" w:fill="auto"/>
            <w:vAlign w:val="center"/>
          </w:tcPr>
          <w:p w14:paraId="1548FA23">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100.00%</w:t>
            </w:r>
          </w:p>
        </w:tc>
      </w:tr>
      <w:tr w14:paraId="6DD4B9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82" w:type="dxa"/>
            <w:tcBorders>
              <w:top w:val="nil"/>
              <w:left w:val="single" w:color="000000" w:sz="8" w:space="0"/>
              <w:bottom w:val="single" w:color="000000" w:sz="8" w:space="0"/>
              <w:right w:val="single" w:color="000000" w:sz="8" w:space="0"/>
            </w:tcBorders>
            <w:shd w:val="clear" w:color="auto" w:fill="auto"/>
            <w:vAlign w:val="center"/>
          </w:tcPr>
          <w:p w14:paraId="2AF055C1">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2655" w:type="dxa"/>
            <w:tcBorders>
              <w:top w:val="nil"/>
              <w:left w:val="nil"/>
              <w:bottom w:val="single" w:color="000000" w:sz="8" w:space="0"/>
              <w:right w:val="single" w:color="000000" w:sz="8" w:space="0"/>
            </w:tcBorders>
            <w:shd w:val="clear" w:color="auto" w:fill="auto"/>
            <w:vAlign w:val="center"/>
          </w:tcPr>
          <w:p w14:paraId="384DE71E">
            <w:pPr>
              <w:keepNext w:val="0"/>
              <w:keepLines w:val="0"/>
              <w:pageBreakBefore w:val="0"/>
              <w:widowControl/>
              <w:suppressLineNumbers w:val="0"/>
              <w:wordWrap/>
              <w:overflowPunct/>
              <w:topLinePunct w:val="0"/>
              <w:bidi w:val="0"/>
              <w:spacing w:line="560" w:lineRule="exact"/>
              <w:jc w:val="center"/>
              <w:textAlignment w:val="center"/>
              <w:rPr>
                <w:rFonts w:hint="default" w:ascii="Times New Roman" w:hAnsi="Times New Roman" w:eastAsia="宋体" w:cs="Times New Roman"/>
                <w:i w:val="0"/>
                <w:iCs w:val="0"/>
                <w:color w:val="000000"/>
                <w:sz w:val="20"/>
                <w:szCs w:val="20"/>
                <w:u w:val="none"/>
              </w:rPr>
            </w:pPr>
            <w:r>
              <w:rPr>
                <w:rFonts w:hint="eastAsia" w:ascii="仿宋" w:hAnsi="仿宋" w:eastAsia="仿宋" w:cs="仿宋"/>
                <w:b/>
                <w:bCs/>
                <w:i w:val="0"/>
                <w:iCs w:val="0"/>
                <w:color w:val="000000"/>
                <w:kern w:val="0"/>
                <w:sz w:val="22"/>
                <w:szCs w:val="22"/>
                <w:u w:val="none"/>
                <w:lang w:val="en-US" w:eastAsia="zh-CN" w:bidi="ar"/>
              </w:rPr>
              <w:t>市级学前教育发展专项资金</w:t>
            </w:r>
          </w:p>
        </w:tc>
        <w:tc>
          <w:tcPr>
            <w:tcW w:w="1560" w:type="dxa"/>
            <w:tcBorders>
              <w:top w:val="nil"/>
              <w:left w:val="nil"/>
              <w:bottom w:val="single" w:color="000000" w:sz="8" w:space="0"/>
              <w:right w:val="single" w:color="000000" w:sz="8" w:space="0"/>
            </w:tcBorders>
            <w:shd w:val="clear" w:color="auto" w:fill="auto"/>
            <w:vAlign w:val="center"/>
          </w:tcPr>
          <w:p w14:paraId="2564D417">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16.7</w:t>
            </w:r>
          </w:p>
        </w:tc>
        <w:tc>
          <w:tcPr>
            <w:tcW w:w="1463" w:type="dxa"/>
            <w:tcBorders>
              <w:top w:val="nil"/>
              <w:left w:val="nil"/>
              <w:bottom w:val="single" w:color="000000" w:sz="8" w:space="0"/>
              <w:right w:val="single" w:color="000000" w:sz="8" w:space="0"/>
            </w:tcBorders>
            <w:shd w:val="clear" w:color="auto" w:fill="auto"/>
            <w:vAlign w:val="center"/>
          </w:tcPr>
          <w:p w14:paraId="3D6C5CE7">
            <w:pPr>
              <w:pageBreakBefore w:val="0"/>
              <w:wordWrap/>
              <w:overflowPunct/>
              <w:topLinePunct w:val="0"/>
              <w:bidi w:val="0"/>
              <w:spacing w:line="560" w:lineRule="exact"/>
              <w:jc w:val="center"/>
              <w:rPr>
                <w:rFonts w:hint="eastAsia" w:ascii="仿宋" w:hAnsi="仿宋" w:eastAsia="仿宋" w:cs="仿宋"/>
                <w:i w:val="0"/>
                <w:iCs w:val="0"/>
                <w:color w:val="000000"/>
                <w:sz w:val="22"/>
                <w:szCs w:val="22"/>
                <w:u w:val="none"/>
                <w:lang w:val="en-US" w:eastAsia="zh-CN"/>
              </w:rPr>
            </w:pPr>
            <w:r>
              <w:rPr>
                <w:rFonts w:hint="eastAsia" w:ascii="仿宋" w:hAnsi="仿宋" w:eastAsia="仿宋" w:cs="仿宋"/>
                <w:i w:val="0"/>
                <w:iCs w:val="0"/>
                <w:color w:val="000000"/>
                <w:sz w:val="22"/>
                <w:szCs w:val="22"/>
                <w:u w:val="none"/>
                <w:lang w:val="en-US" w:eastAsia="zh-CN"/>
              </w:rPr>
              <w:t>-</w:t>
            </w:r>
          </w:p>
        </w:tc>
        <w:tc>
          <w:tcPr>
            <w:tcW w:w="1358" w:type="dxa"/>
            <w:tcBorders>
              <w:top w:val="nil"/>
              <w:left w:val="nil"/>
              <w:bottom w:val="single" w:color="000000" w:sz="8" w:space="0"/>
              <w:right w:val="single" w:color="000000" w:sz="8" w:space="0"/>
            </w:tcBorders>
            <w:shd w:val="clear" w:color="auto" w:fill="auto"/>
            <w:vAlign w:val="center"/>
          </w:tcPr>
          <w:p w14:paraId="2434C11F">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0.00%</w:t>
            </w:r>
          </w:p>
        </w:tc>
      </w:tr>
      <w:tr w14:paraId="2F700C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82" w:type="dxa"/>
            <w:tcBorders>
              <w:top w:val="nil"/>
              <w:left w:val="single" w:color="000000" w:sz="8" w:space="0"/>
              <w:bottom w:val="single" w:color="000000" w:sz="8" w:space="0"/>
              <w:right w:val="single" w:color="000000" w:sz="8" w:space="0"/>
            </w:tcBorders>
            <w:shd w:val="clear" w:color="auto" w:fill="auto"/>
            <w:vAlign w:val="center"/>
          </w:tcPr>
          <w:p w14:paraId="0C41BBCA">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2655" w:type="dxa"/>
            <w:tcBorders>
              <w:top w:val="nil"/>
              <w:left w:val="nil"/>
              <w:bottom w:val="single" w:color="000000" w:sz="8" w:space="0"/>
              <w:right w:val="single" w:color="000000" w:sz="8" w:space="0"/>
            </w:tcBorders>
            <w:shd w:val="clear" w:color="auto" w:fill="auto"/>
            <w:vAlign w:val="center"/>
          </w:tcPr>
          <w:p w14:paraId="18CF200E">
            <w:pPr>
              <w:keepNext w:val="0"/>
              <w:keepLines w:val="0"/>
              <w:pageBreakBefore w:val="0"/>
              <w:widowControl/>
              <w:suppressLineNumbers w:val="0"/>
              <w:wordWrap/>
              <w:overflowPunct/>
              <w:topLinePunct w:val="0"/>
              <w:bidi w:val="0"/>
              <w:spacing w:line="560" w:lineRule="exact"/>
              <w:jc w:val="center"/>
              <w:textAlignment w:val="center"/>
              <w:rPr>
                <w:rFonts w:hint="default" w:ascii="Times New Roman" w:hAnsi="Times New Roman" w:eastAsia="宋体" w:cs="Times New Roman"/>
                <w:i w:val="0"/>
                <w:iCs w:val="0"/>
                <w:color w:val="000000"/>
                <w:sz w:val="20"/>
                <w:szCs w:val="20"/>
                <w:u w:val="none"/>
              </w:rPr>
            </w:pPr>
            <w:r>
              <w:rPr>
                <w:rFonts w:hint="eastAsia" w:ascii="仿宋" w:hAnsi="仿宋" w:eastAsia="仿宋" w:cs="仿宋"/>
                <w:b/>
                <w:bCs/>
                <w:i w:val="0"/>
                <w:iCs w:val="0"/>
                <w:color w:val="000000"/>
                <w:kern w:val="0"/>
                <w:sz w:val="22"/>
                <w:szCs w:val="22"/>
                <w:u w:val="none"/>
                <w:lang w:val="en-US" w:eastAsia="zh-CN" w:bidi="ar"/>
              </w:rPr>
              <w:t>中央和省级激励奖补资金</w:t>
            </w:r>
          </w:p>
        </w:tc>
        <w:tc>
          <w:tcPr>
            <w:tcW w:w="1560" w:type="dxa"/>
            <w:tcBorders>
              <w:top w:val="nil"/>
              <w:left w:val="nil"/>
              <w:bottom w:val="single" w:color="000000" w:sz="8" w:space="0"/>
              <w:right w:val="single" w:color="000000" w:sz="8" w:space="0"/>
            </w:tcBorders>
            <w:shd w:val="clear" w:color="auto" w:fill="auto"/>
            <w:vAlign w:val="center"/>
          </w:tcPr>
          <w:p w14:paraId="786BDAA9">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67.5</w:t>
            </w:r>
          </w:p>
        </w:tc>
        <w:tc>
          <w:tcPr>
            <w:tcW w:w="1463" w:type="dxa"/>
            <w:tcBorders>
              <w:top w:val="nil"/>
              <w:left w:val="nil"/>
              <w:bottom w:val="single" w:color="000000" w:sz="8" w:space="0"/>
              <w:right w:val="single" w:color="000000" w:sz="8" w:space="0"/>
            </w:tcBorders>
            <w:shd w:val="clear" w:color="auto" w:fill="auto"/>
            <w:vAlign w:val="center"/>
          </w:tcPr>
          <w:p w14:paraId="442739A9">
            <w:pPr>
              <w:pageBreakBefore w:val="0"/>
              <w:wordWrap/>
              <w:overflowPunct/>
              <w:topLinePunct w:val="0"/>
              <w:bidi w:val="0"/>
              <w:spacing w:line="560" w:lineRule="exact"/>
              <w:jc w:val="center"/>
              <w:rPr>
                <w:rFonts w:hint="eastAsia" w:ascii="仿宋" w:hAnsi="仿宋" w:eastAsia="仿宋" w:cs="仿宋"/>
                <w:i w:val="0"/>
                <w:iCs w:val="0"/>
                <w:color w:val="000000"/>
                <w:sz w:val="22"/>
                <w:szCs w:val="22"/>
                <w:u w:val="none"/>
                <w:lang w:val="en-US" w:eastAsia="zh-CN"/>
              </w:rPr>
            </w:pPr>
            <w:r>
              <w:rPr>
                <w:rFonts w:hint="eastAsia" w:ascii="仿宋" w:hAnsi="仿宋" w:eastAsia="仿宋" w:cs="仿宋"/>
                <w:i w:val="0"/>
                <w:iCs w:val="0"/>
                <w:color w:val="000000"/>
                <w:sz w:val="22"/>
                <w:szCs w:val="22"/>
                <w:u w:val="none"/>
                <w:lang w:val="en-US" w:eastAsia="zh-CN"/>
              </w:rPr>
              <w:t>-</w:t>
            </w:r>
          </w:p>
        </w:tc>
        <w:tc>
          <w:tcPr>
            <w:tcW w:w="1358" w:type="dxa"/>
            <w:tcBorders>
              <w:top w:val="nil"/>
              <w:left w:val="nil"/>
              <w:bottom w:val="single" w:color="000000" w:sz="8" w:space="0"/>
              <w:right w:val="single" w:color="000000" w:sz="8" w:space="0"/>
            </w:tcBorders>
            <w:shd w:val="clear" w:color="auto" w:fill="auto"/>
            <w:vAlign w:val="center"/>
          </w:tcPr>
          <w:p w14:paraId="69839F97">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0.00%</w:t>
            </w:r>
          </w:p>
        </w:tc>
      </w:tr>
      <w:tr w14:paraId="65C205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82" w:type="dxa"/>
            <w:tcBorders>
              <w:top w:val="nil"/>
              <w:left w:val="single" w:color="000000" w:sz="8" w:space="0"/>
              <w:bottom w:val="single" w:color="000000" w:sz="8" w:space="0"/>
              <w:right w:val="single" w:color="000000" w:sz="8" w:space="0"/>
            </w:tcBorders>
            <w:shd w:val="clear" w:color="auto" w:fill="auto"/>
            <w:vAlign w:val="center"/>
          </w:tcPr>
          <w:p w14:paraId="365EB08F">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w:t>
            </w:r>
          </w:p>
        </w:tc>
        <w:tc>
          <w:tcPr>
            <w:tcW w:w="2655" w:type="dxa"/>
            <w:tcBorders>
              <w:top w:val="nil"/>
              <w:left w:val="nil"/>
              <w:bottom w:val="single" w:color="000000" w:sz="8" w:space="0"/>
              <w:right w:val="single" w:color="000000" w:sz="8" w:space="0"/>
            </w:tcBorders>
            <w:shd w:val="clear" w:color="auto" w:fill="auto"/>
            <w:vAlign w:val="center"/>
          </w:tcPr>
          <w:p w14:paraId="3427641E">
            <w:pPr>
              <w:keepNext w:val="0"/>
              <w:keepLines w:val="0"/>
              <w:pageBreakBefore w:val="0"/>
              <w:widowControl/>
              <w:suppressLineNumbers w:val="0"/>
              <w:wordWrap/>
              <w:overflowPunct/>
              <w:topLinePunct w:val="0"/>
              <w:bidi w:val="0"/>
              <w:spacing w:line="560" w:lineRule="exact"/>
              <w:jc w:val="center"/>
              <w:textAlignment w:val="center"/>
              <w:rPr>
                <w:rFonts w:hint="default" w:ascii="Times New Roman" w:hAnsi="Times New Roman" w:eastAsia="宋体" w:cs="Times New Roman"/>
                <w:i w:val="0"/>
                <w:iCs w:val="0"/>
                <w:color w:val="000000"/>
                <w:sz w:val="20"/>
                <w:szCs w:val="20"/>
                <w:u w:val="none"/>
              </w:rPr>
            </w:pPr>
            <w:r>
              <w:rPr>
                <w:rFonts w:hint="eastAsia" w:ascii="仿宋" w:hAnsi="仿宋" w:eastAsia="仿宋" w:cs="仿宋"/>
                <w:b/>
                <w:bCs/>
                <w:i w:val="0"/>
                <w:iCs w:val="0"/>
                <w:color w:val="000000"/>
                <w:kern w:val="0"/>
                <w:sz w:val="22"/>
                <w:szCs w:val="22"/>
                <w:u w:val="none"/>
                <w:lang w:val="en-US" w:eastAsia="zh-CN" w:bidi="ar"/>
              </w:rPr>
              <w:t xml:space="preserve">学前教育  </w:t>
            </w:r>
          </w:p>
        </w:tc>
        <w:tc>
          <w:tcPr>
            <w:tcW w:w="1560" w:type="dxa"/>
            <w:tcBorders>
              <w:top w:val="nil"/>
              <w:left w:val="nil"/>
              <w:bottom w:val="single" w:color="000000" w:sz="8" w:space="0"/>
              <w:right w:val="single" w:color="000000" w:sz="8" w:space="0"/>
            </w:tcBorders>
            <w:shd w:val="clear" w:color="auto" w:fill="auto"/>
            <w:vAlign w:val="center"/>
          </w:tcPr>
          <w:p w14:paraId="599163F2">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59.3</w:t>
            </w:r>
          </w:p>
        </w:tc>
        <w:tc>
          <w:tcPr>
            <w:tcW w:w="1463" w:type="dxa"/>
            <w:tcBorders>
              <w:top w:val="nil"/>
              <w:left w:val="nil"/>
              <w:bottom w:val="single" w:color="000000" w:sz="8" w:space="0"/>
              <w:right w:val="single" w:color="000000" w:sz="8" w:space="0"/>
            </w:tcBorders>
            <w:shd w:val="clear" w:color="auto" w:fill="auto"/>
            <w:vAlign w:val="center"/>
          </w:tcPr>
          <w:p w14:paraId="22505B63">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59.3</w:t>
            </w:r>
          </w:p>
        </w:tc>
        <w:tc>
          <w:tcPr>
            <w:tcW w:w="1358" w:type="dxa"/>
            <w:tcBorders>
              <w:top w:val="nil"/>
              <w:left w:val="nil"/>
              <w:bottom w:val="single" w:color="000000" w:sz="8" w:space="0"/>
              <w:right w:val="single" w:color="000000" w:sz="8" w:space="0"/>
            </w:tcBorders>
            <w:shd w:val="clear" w:color="auto" w:fill="auto"/>
            <w:vAlign w:val="center"/>
          </w:tcPr>
          <w:p w14:paraId="6F77D4D9">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100.00%</w:t>
            </w:r>
          </w:p>
        </w:tc>
      </w:tr>
      <w:tr w14:paraId="688DC0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237" w:type="dxa"/>
            <w:gridSpan w:val="2"/>
            <w:tcBorders>
              <w:top w:val="nil"/>
              <w:left w:val="single" w:color="000000" w:sz="8" w:space="0"/>
              <w:bottom w:val="single" w:color="000000" w:sz="8" w:space="0"/>
              <w:right w:val="single" w:color="000000" w:sz="8" w:space="0"/>
            </w:tcBorders>
            <w:shd w:val="clear" w:color="auto" w:fill="auto"/>
            <w:vAlign w:val="center"/>
          </w:tcPr>
          <w:p w14:paraId="7F93D53A">
            <w:pPr>
              <w:keepNext w:val="0"/>
              <w:keepLines w:val="0"/>
              <w:pageBreakBefore w:val="0"/>
              <w:widowControl/>
              <w:suppressLineNumbers w:val="0"/>
              <w:wordWrap/>
              <w:overflowPunct/>
              <w:topLinePunct w:val="0"/>
              <w:bidi w:val="0"/>
              <w:spacing w:line="560" w:lineRule="exact"/>
              <w:jc w:val="center"/>
              <w:textAlignment w:val="center"/>
              <w:rPr>
                <w:rFonts w:hint="default" w:ascii="Times New Roman" w:hAnsi="Times New Roman" w:eastAsia="宋体" w:cs="Times New Roman"/>
                <w:i w:val="0"/>
                <w:iCs w:val="0"/>
                <w:color w:val="000000"/>
                <w:sz w:val="20"/>
                <w:szCs w:val="20"/>
                <w:u w:val="none"/>
              </w:rPr>
            </w:pPr>
            <w:r>
              <w:rPr>
                <w:rFonts w:hint="eastAsia" w:ascii="仿宋" w:hAnsi="仿宋" w:eastAsia="仿宋" w:cs="仿宋"/>
                <w:i w:val="0"/>
                <w:iCs w:val="0"/>
                <w:color w:val="000000"/>
                <w:kern w:val="0"/>
                <w:sz w:val="22"/>
                <w:szCs w:val="22"/>
                <w:u w:val="none"/>
                <w:lang w:val="en-US" w:eastAsia="zh-CN" w:bidi="ar"/>
              </w:rPr>
              <w:t>合计</w:t>
            </w:r>
          </w:p>
        </w:tc>
        <w:tc>
          <w:tcPr>
            <w:tcW w:w="1560" w:type="dxa"/>
            <w:tcBorders>
              <w:top w:val="nil"/>
              <w:left w:val="nil"/>
              <w:bottom w:val="single" w:color="000000" w:sz="8" w:space="0"/>
              <w:right w:val="single" w:color="000000" w:sz="8" w:space="0"/>
            </w:tcBorders>
            <w:shd w:val="clear" w:color="auto" w:fill="auto"/>
            <w:vAlign w:val="center"/>
          </w:tcPr>
          <w:p w14:paraId="2BD47BB5">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191.8</w:t>
            </w:r>
          </w:p>
        </w:tc>
        <w:tc>
          <w:tcPr>
            <w:tcW w:w="1463" w:type="dxa"/>
            <w:tcBorders>
              <w:top w:val="nil"/>
              <w:left w:val="nil"/>
              <w:bottom w:val="single" w:color="000000" w:sz="8" w:space="0"/>
              <w:right w:val="single" w:color="000000" w:sz="8" w:space="0"/>
            </w:tcBorders>
            <w:shd w:val="clear" w:color="auto" w:fill="auto"/>
            <w:vAlign w:val="center"/>
          </w:tcPr>
          <w:p w14:paraId="1D363304">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107.6</w:t>
            </w:r>
          </w:p>
        </w:tc>
        <w:tc>
          <w:tcPr>
            <w:tcW w:w="1358" w:type="dxa"/>
            <w:tcBorders>
              <w:top w:val="nil"/>
              <w:left w:val="nil"/>
              <w:bottom w:val="single" w:color="000000" w:sz="8" w:space="0"/>
              <w:right w:val="single" w:color="000000" w:sz="8" w:space="0"/>
            </w:tcBorders>
            <w:shd w:val="clear" w:color="auto" w:fill="auto"/>
            <w:vAlign w:val="center"/>
          </w:tcPr>
          <w:p w14:paraId="1267195C">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56.09%</w:t>
            </w:r>
          </w:p>
        </w:tc>
      </w:tr>
    </w:tbl>
    <w:p w14:paraId="6C193BA0">
      <w:pPr>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黑体" w:hAnsi="黑体" w:eastAsia="黑体"/>
          <w:color w:val="auto"/>
          <w:sz w:val="32"/>
          <w:szCs w:val="32"/>
          <w:highlight w:val="none"/>
          <w:lang w:val="en-US" w:eastAsia="zh-CN"/>
        </w:rPr>
      </w:pPr>
    </w:p>
    <w:p w14:paraId="3CE6FFE2">
      <w:pPr>
        <w:pStyle w:val="3"/>
        <w:pageBreakBefore w:val="0"/>
        <w:numPr>
          <w:ilvl w:val="0"/>
          <w:numId w:val="0"/>
        </w:numPr>
        <w:kinsoku/>
        <w:wordWrap/>
        <w:overflowPunct/>
        <w:topLinePunct w:val="0"/>
        <w:autoSpaceDE/>
        <w:autoSpaceDN/>
        <w:bidi w:val="0"/>
        <w:spacing w:line="560" w:lineRule="exact"/>
        <w:ind w:leftChars="200"/>
        <w:rPr>
          <w:rFonts w:hint="eastAsia"/>
          <w:color w:val="auto"/>
          <w:szCs w:val="32"/>
          <w:lang w:val="en-US" w:eastAsia="zh-CN"/>
        </w:rPr>
      </w:pPr>
      <w:bookmarkStart w:id="523" w:name="_Toc9967"/>
      <w:bookmarkStart w:id="524" w:name="_Toc27029"/>
      <w:r>
        <w:rPr>
          <w:rFonts w:hint="eastAsia"/>
          <w:color w:val="auto"/>
          <w:szCs w:val="32"/>
          <w:lang w:val="en-US" w:eastAsia="zh-CN"/>
        </w:rPr>
        <w:t>三、绩效评价工作开展情况</w:t>
      </w:r>
      <w:bookmarkEnd w:id="523"/>
      <w:bookmarkEnd w:id="524"/>
    </w:p>
    <w:p w14:paraId="7F076D14">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1"/>
        <w:rPr>
          <w:rFonts w:ascii="楷体" w:hAnsi="楷体" w:eastAsia="楷体"/>
          <w:b/>
          <w:bCs/>
          <w:color w:val="auto"/>
          <w:sz w:val="32"/>
          <w:szCs w:val="32"/>
          <w:highlight w:val="none"/>
        </w:rPr>
      </w:pPr>
      <w:bookmarkStart w:id="525" w:name="_Toc17474"/>
      <w:bookmarkStart w:id="526" w:name="_Toc27916"/>
      <w:r>
        <w:rPr>
          <w:rFonts w:hint="eastAsia" w:ascii="楷体" w:hAnsi="楷体" w:eastAsia="楷体"/>
          <w:b/>
          <w:bCs/>
          <w:color w:val="auto"/>
          <w:sz w:val="32"/>
          <w:szCs w:val="32"/>
          <w:highlight w:val="none"/>
        </w:rPr>
        <w:t>（一）绩效评价目的</w:t>
      </w:r>
      <w:bookmarkEnd w:id="525"/>
      <w:bookmarkEnd w:id="526"/>
    </w:p>
    <w:p w14:paraId="4B23E1E2">
      <w:pPr>
        <w:pStyle w:val="8"/>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color w:val="auto"/>
          <w:highlight w:val="none"/>
        </w:rPr>
      </w:pPr>
      <w:r>
        <w:rPr>
          <w:rFonts w:hint="eastAsia" w:ascii="仿宋" w:hAnsi="仿宋" w:eastAsia="仿宋" w:cs="仿宋"/>
          <w:bCs/>
          <w:color w:val="auto"/>
          <w:sz w:val="32"/>
          <w:szCs w:val="32"/>
          <w:highlight w:val="none"/>
        </w:rPr>
        <w:t>为全面贯彻落实《中共中央国务院关于全面实施预算绩效管理的意见》（中发〔2018〕34号）、《四川省关于全面实施预算绩效管理的实施意见》（川委发〔2019〕8号）</w:t>
      </w:r>
      <w:r>
        <w:rPr>
          <w:rFonts w:hint="eastAsia" w:ascii="仿宋" w:hAnsi="仿宋" w:eastAsia="仿宋" w:cs="仿宋"/>
          <w:bCs/>
          <w:color w:val="auto"/>
          <w:sz w:val="32"/>
          <w:szCs w:val="32"/>
          <w:highlight w:val="none"/>
          <w:lang w:eastAsia="zh-CN"/>
        </w:rPr>
        <w:t>、</w:t>
      </w:r>
      <w:r>
        <w:rPr>
          <w:rFonts w:hint="eastAsia" w:ascii="仿宋" w:hAnsi="仿宋" w:eastAsia="仿宋" w:cs="仿宋"/>
          <w:bCs/>
          <w:color w:val="auto"/>
          <w:sz w:val="32"/>
          <w:szCs w:val="32"/>
          <w:highlight w:val="none"/>
        </w:rPr>
        <w:t>《关于开展2022年财政重点绩效评价工作的通知》（遂东区财发〔2022〕8号）等文件</w:t>
      </w:r>
      <w:r>
        <w:rPr>
          <w:rFonts w:hint="eastAsia" w:ascii="仿宋" w:hAnsi="仿宋" w:eastAsia="仿宋" w:cs="仿宋"/>
          <w:bCs/>
          <w:color w:val="auto"/>
          <w:sz w:val="32"/>
          <w:szCs w:val="32"/>
          <w:highlight w:val="none"/>
          <w:lang w:val="en-US" w:eastAsia="zh-CN"/>
        </w:rPr>
        <w:t>精神</w:t>
      </w:r>
      <w:r>
        <w:rPr>
          <w:rFonts w:hint="eastAsia" w:ascii="仿宋" w:hAnsi="仿宋" w:eastAsia="仿宋" w:cs="仿宋"/>
          <w:bCs/>
          <w:color w:val="auto"/>
          <w:sz w:val="32"/>
          <w:szCs w:val="32"/>
          <w:highlight w:val="none"/>
        </w:rPr>
        <w:t>，对</w:t>
      </w:r>
      <w:r>
        <w:rPr>
          <w:rFonts w:hint="eastAsia" w:ascii="仿宋" w:hAnsi="仿宋" w:eastAsia="仿宋" w:cs="仿宋"/>
          <w:bCs/>
          <w:color w:val="auto"/>
          <w:sz w:val="32"/>
          <w:szCs w:val="32"/>
          <w:highlight w:val="none"/>
          <w:lang w:val="en-US" w:eastAsia="zh-CN"/>
        </w:rPr>
        <w:t>紫竹路幼儿园</w:t>
      </w:r>
      <w:r>
        <w:rPr>
          <w:rFonts w:hint="eastAsia" w:ascii="仿宋" w:hAnsi="仿宋" w:eastAsia="仿宋" w:cs="仿宋"/>
          <w:bCs/>
          <w:color w:val="auto"/>
          <w:sz w:val="32"/>
          <w:szCs w:val="32"/>
          <w:highlight w:val="none"/>
        </w:rPr>
        <w:t>的</w:t>
      </w:r>
      <w:r>
        <w:rPr>
          <w:rFonts w:hint="eastAsia" w:ascii="仿宋" w:hAnsi="仿宋" w:eastAsia="仿宋" w:cs="仿宋"/>
          <w:bCs/>
          <w:color w:val="auto"/>
          <w:sz w:val="32"/>
          <w:szCs w:val="32"/>
          <w:highlight w:val="none"/>
          <w:lang w:val="en-US" w:eastAsia="zh-CN"/>
        </w:rPr>
        <w:t>基本履职绩效、重点履职绩效</w:t>
      </w:r>
      <w:r>
        <w:rPr>
          <w:rFonts w:hint="eastAsia" w:ascii="仿宋" w:hAnsi="仿宋" w:eastAsia="仿宋" w:cs="仿宋"/>
          <w:bCs/>
          <w:color w:val="auto"/>
          <w:sz w:val="32"/>
          <w:szCs w:val="32"/>
          <w:highlight w:val="none"/>
        </w:rPr>
        <w:t>情况</w:t>
      </w:r>
      <w:r>
        <w:rPr>
          <w:rFonts w:hint="eastAsia" w:ascii="仿宋" w:hAnsi="仿宋" w:eastAsia="仿宋" w:cs="仿宋"/>
          <w:bCs/>
          <w:color w:val="auto"/>
          <w:sz w:val="32"/>
          <w:szCs w:val="32"/>
          <w:highlight w:val="none"/>
          <w:lang w:val="en-US" w:eastAsia="zh-CN"/>
        </w:rPr>
        <w:t>和满意度</w:t>
      </w:r>
      <w:r>
        <w:rPr>
          <w:rFonts w:hint="eastAsia" w:ascii="仿宋" w:hAnsi="仿宋" w:eastAsia="仿宋" w:cs="仿宋"/>
          <w:bCs/>
          <w:color w:val="auto"/>
          <w:sz w:val="32"/>
          <w:szCs w:val="32"/>
          <w:highlight w:val="none"/>
        </w:rPr>
        <w:t>开展绩效评价。通过评价工作的实施，</w:t>
      </w:r>
      <w:r>
        <w:rPr>
          <w:rFonts w:hint="eastAsia" w:ascii="仿宋" w:hAnsi="仿宋" w:eastAsia="仿宋"/>
          <w:bCs/>
          <w:color w:val="auto"/>
          <w:sz w:val="32"/>
          <w:szCs w:val="32"/>
          <w:highlight w:val="none"/>
        </w:rPr>
        <w:t>全面反映</w:t>
      </w:r>
      <w:r>
        <w:rPr>
          <w:rFonts w:hint="eastAsia" w:ascii="仿宋" w:hAnsi="仿宋" w:eastAsia="仿宋" w:cs="仿宋"/>
          <w:bCs/>
          <w:color w:val="auto"/>
          <w:sz w:val="32"/>
          <w:szCs w:val="32"/>
          <w:highlight w:val="none"/>
          <w:lang w:val="en-US" w:eastAsia="zh-CN"/>
        </w:rPr>
        <w:t>紫竹路幼儿园</w:t>
      </w:r>
      <w:r>
        <w:rPr>
          <w:rFonts w:hint="eastAsia" w:ascii="仿宋" w:hAnsi="仿宋" w:eastAsia="仿宋"/>
          <w:bCs/>
          <w:color w:val="auto"/>
          <w:sz w:val="32"/>
          <w:szCs w:val="32"/>
          <w:highlight w:val="none"/>
        </w:rPr>
        <w:t>本级预算管理和核心业务实施效果，</w:t>
      </w:r>
      <w:r>
        <w:rPr>
          <w:rFonts w:hint="eastAsia" w:ascii="仿宋" w:hAnsi="仿宋" w:eastAsia="仿宋" w:cs="仿宋"/>
          <w:bCs/>
          <w:color w:val="auto"/>
          <w:sz w:val="32"/>
          <w:szCs w:val="32"/>
          <w:highlight w:val="none"/>
        </w:rPr>
        <w:t>总结经验、发现问题、剖析原因、提出改进建议，</w:t>
      </w:r>
      <w:r>
        <w:rPr>
          <w:rFonts w:hint="eastAsia" w:ascii="仿宋" w:hAnsi="仿宋" w:eastAsia="仿宋"/>
          <w:bCs/>
          <w:color w:val="auto"/>
          <w:sz w:val="32"/>
          <w:szCs w:val="32"/>
          <w:highlight w:val="none"/>
        </w:rPr>
        <w:t>促进单位科学决策、规范管理，提高部门整体绩效水平及财政资源配置效率和使用效益。</w:t>
      </w:r>
    </w:p>
    <w:p w14:paraId="1E83A62E">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1"/>
        <w:rPr>
          <w:rFonts w:ascii="楷体" w:hAnsi="楷体" w:eastAsia="楷体"/>
          <w:b/>
          <w:bCs/>
          <w:color w:val="auto"/>
          <w:sz w:val="32"/>
          <w:szCs w:val="32"/>
        </w:rPr>
      </w:pPr>
      <w:bookmarkStart w:id="527" w:name="_Toc30306"/>
      <w:bookmarkStart w:id="528" w:name="_Toc28013"/>
      <w:r>
        <w:rPr>
          <w:rFonts w:hint="eastAsia" w:ascii="楷体" w:hAnsi="楷体" w:eastAsia="楷体"/>
          <w:b/>
          <w:bCs/>
          <w:color w:val="auto"/>
          <w:sz w:val="32"/>
          <w:szCs w:val="32"/>
        </w:rPr>
        <w:t>（二）绩效评价原则、方法与标准</w:t>
      </w:r>
      <w:bookmarkEnd w:id="527"/>
      <w:bookmarkEnd w:id="528"/>
    </w:p>
    <w:p w14:paraId="703D15B7">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2"/>
        <w:rPr>
          <w:rFonts w:hint="eastAsia" w:ascii="仿宋" w:hAnsi="仿宋" w:eastAsia="仿宋" w:cs="仿宋"/>
          <w:b/>
          <w:color w:val="auto"/>
          <w:sz w:val="32"/>
          <w:szCs w:val="32"/>
        </w:rPr>
      </w:pPr>
      <w:r>
        <w:rPr>
          <w:rFonts w:ascii="仿宋" w:hAnsi="仿宋" w:eastAsia="仿宋" w:cs="仿宋"/>
          <w:b/>
          <w:color w:val="auto"/>
          <w:sz w:val="32"/>
          <w:szCs w:val="32"/>
        </w:rPr>
        <w:t>1.</w:t>
      </w:r>
      <w:r>
        <w:rPr>
          <w:rFonts w:hint="eastAsia" w:ascii="仿宋" w:hAnsi="仿宋" w:eastAsia="仿宋" w:cs="仿宋"/>
          <w:b/>
          <w:color w:val="auto"/>
          <w:sz w:val="32"/>
          <w:szCs w:val="32"/>
        </w:rPr>
        <w:t>评价原则</w:t>
      </w:r>
    </w:p>
    <w:p w14:paraId="70E7202C">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本次评价工作本着问题导向、系统评价、科学客观、讲求绩效的原则，采用全面评价和重点评价相结合、现场评价和非现场评价相结合、定性分析与定量分析相结合的方式，对</w:t>
      </w:r>
      <w:r>
        <w:rPr>
          <w:rFonts w:hint="eastAsia" w:ascii="仿宋" w:hAnsi="仿宋" w:eastAsia="仿宋" w:cs="仿宋"/>
          <w:bCs/>
          <w:color w:val="auto"/>
          <w:sz w:val="32"/>
          <w:szCs w:val="32"/>
          <w:lang w:val="en-US" w:eastAsia="zh-CN"/>
        </w:rPr>
        <w:t>紫竹路幼儿园</w:t>
      </w:r>
      <w:r>
        <w:rPr>
          <w:rFonts w:hint="eastAsia" w:ascii="仿宋" w:hAnsi="仿宋" w:eastAsia="仿宋" w:cs="仿宋"/>
          <w:bCs/>
          <w:color w:val="auto"/>
          <w:sz w:val="32"/>
          <w:szCs w:val="32"/>
        </w:rPr>
        <w:t>整体的</w:t>
      </w:r>
      <w:r>
        <w:rPr>
          <w:rFonts w:hint="eastAsia" w:ascii="仿宋" w:hAnsi="仿宋" w:eastAsia="仿宋" w:cs="仿宋"/>
          <w:bCs/>
          <w:color w:val="auto"/>
          <w:sz w:val="32"/>
          <w:szCs w:val="32"/>
          <w:lang w:val="en-US" w:eastAsia="zh-CN"/>
        </w:rPr>
        <w:t>基本履职绩效和重点履职绩效</w:t>
      </w:r>
      <w:r>
        <w:rPr>
          <w:rFonts w:hint="eastAsia" w:ascii="仿宋" w:hAnsi="仿宋" w:eastAsia="仿宋" w:cs="仿宋"/>
          <w:bCs/>
          <w:color w:val="auto"/>
          <w:sz w:val="32"/>
          <w:szCs w:val="32"/>
        </w:rPr>
        <w:t>情况开展绩效评价</w:t>
      </w:r>
    </w:p>
    <w:p w14:paraId="68F1D3B8">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2"/>
        <w:rPr>
          <w:rFonts w:ascii="仿宋" w:hAnsi="仿宋" w:eastAsia="仿宋" w:cs="仿宋"/>
          <w:b/>
          <w:color w:val="auto"/>
          <w:sz w:val="32"/>
          <w:szCs w:val="32"/>
        </w:rPr>
      </w:pPr>
      <w:r>
        <w:rPr>
          <w:rFonts w:ascii="仿宋" w:hAnsi="仿宋" w:eastAsia="仿宋" w:cs="仿宋"/>
          <w:b/>
          <w:color w:val="auto"/>
          <w:sz w:val="32"/>
          <w:szCs w:val="32"/>
        </w:rPr>
        <w:t>2.</w:t>
      </w:r>
      <w:r>
        <w:rPr>
          <w:rFonts w:hint="eastAsia" w:ascii="仿宋" w:hAnsi="仿宋" w:eastAsia="仿宋" w:cs="仿宋"/>
          <w:b/>
          <w:color w:val="auto"/>
          <w:sz w:val="32"/>
          <w:szCs w:val="32"/>
        </w:rPr>
        <w:t>评价方法</w:t>
      </w:r>
    </w:p>
    <w:p w14:paraId="08D02C39">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围绕</w:t>
      </w:r>
      <w:r>
        <w:rPr>
          <w:rFonts w:hint="eastAsia" w:ascii="仿宋" w:hAnsi="仿宋" w:eastAsia="仿宋" w:cs="仿宋"/>
          <w:bCs/>
          <w:color w:val="auto"/>
          <w:sz w:val="32"/>
          <w:szCs w:val="32"/>
          <w:highlight w:val="none"/>
          <w:lang w:val="en-US" w:eastAsia="zh-CN"/>
        </w:rPr>
        <w:t>紫竹路幼儿园</w:t>
      </w:r>
      <w:r>
        <w:rPr>
          <w:rFonts w:hint="eastAsia" w:ascii="仿宋" w:hAnsi="仿宋" w:eastAsia="仿宋" w:cs="仿宋"/>
          <w:bCs/>
          <w:color w:val="auto"/>
          <w:sz w:val="32"/>
          <w:szCs w:val="32"/>
        </w:rPr>
        <w:t>单位职责，以预算资金管理为主线，统筹考虑业务活动，立足统计工作的定位，确保“职能</w:t>
      </w:r>
      <w:r>
        <w:rPr>
          <w:rFonts w:hint="eastAsia" w:ascii="仿宋" w:hAnsi="仿宋" w:eastAsia="仿宋" w:cs="仿宋"/>
          <w:bCs/>
          <w:color w:val="auto"/>
          <w:sz w:val="32"/>
          <w:szCs w:val="32"/>
          <w:lang w:eastAsia="zh-CN"/>
        </w:rPr>
        <w:t>－</w:t>
      </w:r>
      <w:r>
        <w:rPr>
          <w:rFonts w:hint="eastAsia" w:ascii="仿宋" w:hAnsi="仿宋" w:eastAsia="仿宋" w:cs="仿宋"/>
          <w:bCs/>
          <w:color w:val="auto"/>
          <w:sz w:val="32"/>
          <w:szCs w:val="32"/>
        </w:rPr>
        <w:t>机构</w:t>
      </w:r>
      <w:r>
        <w:rPr>
          <w:rFonts w:hint="eastAsia" w:ascii="仿宋" w:hAnsi="仿宋" w:eastAsia="仿宋" w:cs="仿宋"/>
          <w:bCs/>
          <w:color w:val="auto"/>
          <w:sz w:val="32"/>
          <w:szCs w:val="32"/>
          <w:lang w:eastAsia="zh-CN"/>
        </w:rPr>
        <w:t>－</w:t>
      </w:r>
      <w:r>
        <w:rPr>
          <w:rFonts w:hint="eastAsia" w:ascii="仿宋" w:hAnsi="仿宋" w:eastAsia="仿宋" w:cs="仿宋"/>
          <w:bCs/>
          <w:color w:val="auto"/>
          <w:sz w:val="32"/>
          <w:szCs w:val="32"/>
        </w:rPr>
        <w:t>资金</w:t>
      </w:r>
      <w:r>
        <w:rPr>
          <w:rFonts w:hint="eastAsia" w:ascii="仿宋" w:hAnsi="仿宋" w:eastAsia="仿宋" w:cs="仿宋"/>
          <w:bCs/>
          <w:color w:val="auto"/>
          <w:sz w:val="32"/>
          <w:szCs w:val="32"/>
          <w:lang w:eastAsia="zh-CN"/>
        </w:rPr>
        <w:t>－</w:t>
      </w:r>
      <w:r>
        <w:rPr>
          <w:rFonts w:hint="eastAsia" w:ascii="仿宋" w:hAnsi="仿宋" w:eastAsia="仿宋" w:cs="仿宋"/>
          <w:bCs/>
          <w:color w:val="auto"/>
          <w:sz w:val="32"/>
          <w:szCs w:val="32"/>
          <w:lang w:val="en-US" w:eastAsia="zh-CN"/>
        </w:rPr>
        <w:t>绩效</w:t>
      </w:r>
      <w:r>
        <w:rPr>
          <w:rFonts w:hint="eastAsia" w:ascii="仿宋" w:hAnsi="仿宋" w:eastAsia="仿宋" w:cs="仿宋"/>
          <w:bCs/>
          <w:color w:val="auto"/>
          <w:sz w:val="32"/>
          <w:szCs w:val="32"/>
        </w:rPr>
        <w:t>”的有效衔接。评价过程中主要采用卷宗研究法、对比分析法、公众评判法、成本效益分析法、因素分析法等方法。</w:t>
      </w:r>
    </w:p>
    <w:p w14:paraId="2CB6085E">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2"/>
        <w:rPr>
          <w:rFonts w:hint="eastAsia" w:ascii="仿宋" w:hAnsi="仿宋" w:eastAsia="仿宋" w:cs="仿宋"/>
          <w:b/>
          <w:color w:val="auto"/>
          <w:sz w:val="32"/>
          <w:szCs w:val="32"/>
        </w:rPr>
      </w:pPr>
      <w:r>
        <w:rPr>
          <w:rFonts w:hint="eastAsia" w:ascii="仿宋" w:hAnsi="仿宋" w:eastAsia="仿宋" w:cs="仿宋"/>
          <w:b/>
          <w:color w:val="auto"/>
          <w:sz w:val="32"/>
          <w:szCs w:val="32"/>
        </w:rPr>
        <w:t>3.评价指标体系</w:t>
      </w:r>
    </w:p>
    <w:p w14:paraId="19A1ECB2">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lang w:eastAsia="zh-CN"/>
        </w:rPr>
      </w:pPr>
      <w:r>
        <w:rPr>
          <w:rFonts w:hint="eastAsia" w:ascii="仿宋" w:hAnsi="仿宋" w:eastAsia="仿宋" w:cs="仿宋"/>
          <w:bCs/>
          <w:color w:val="auto"/>
          <w:sz w:val="32"/>
          <w:szCs w:val="32"/>
        </w:rPr>
        <w:t>本次评价工作设置指标体系包括</w:t>
      </w:r>
      <w:r>
        <w:rPr>
          <w:rFonts w:hint="eastAsia" w:ascii="仿宋" w:hAnsi="仿宋" w:eastAsia="仿宋" w:cs="仿宋"/>
          <w:bCs/>
          <w:color w:val="auto"/>
          <w:sz w:val="32"/>
          <w:szCs w:val="32"/>
          <w:lang w:val="en-US" w:eastAsia="zh-CN"/>
        </w:rPr>
        <w:t>部门预算管理、绩效结果应用和自评质量3</w:t>
      </w:r>
      <w:r>
        <w:rPr>
          <w:rFonts w:hint="eastAsia" w:ascii="仿宋" w:hAnsi="仿宋" w:eastAsia="仿宋" w:cs="仿宋"/>
          <w:bCs/>
          <w:color w:val="auto"/>
          <w:sz w:val="32"/>
          <w:szCs w:val="32"/>
        </w:rPr>
        <w:t>个一级指标，</w:t>
      </w:r>
      <w:r>
        <w:rPr>
          <w:rFonts w:hint="eastAsia" w:ascii="仿宋" w:hAnsi="仿宋" w:eastAsia="仿宋" w:cs="仿宋"/>
          <w:bCs/>
          <w:color w:val="auto"/>
          <w:sz w:val="32"/>
          <w:szCs w:val="32"/>
          <w:lang w:val="en-US" w:eastAsia="zh-CN"/>
        </w:rPr>
        <w:t>6</w:t>
      </w:r>
      <w:r>
        <w:rPr>
          <w:rFonts w:hint="eastAsia" w:ascii="仿宋" w:hAnsi="仿宋" w:eastAsia="仿宋" w:cs="仿宋"/>
          <w:bCs/>
          <w:color w:val="auto"/>
          <w:sz w:val="32"/>
          <w:szCs w:val="32"/>
        </w:rPr>
        <w:t>个二级指标和</w:t>
      </w:r>
      <w:r>
        <w:rPr>
          <w:rFonts w:hint="eastAsia" w:ascii="仿宋" w:hAnsi="仿宋" w:eastAsia="仿宋" w:cs="仿宋"/>
          <w:bCs/>
          <w:color w:val="auto"/>
          <w:sz w:val="32"/>
          <w:szCs w:val="32"/>
          <w:lang w:val="en-US" w:eastAsia="zh-CN"/>
        </w:rPr>
        <w:t>12</w:t>
      </w:r>
      <w:r>
        <w:rPr>
          <w:rFonts w:hint="eastAsia" w:ascii="仿宋" w:hAnsi="仿宋" w:eastAsia="仿宋" w:cs="仿宋"/>
          <w:bCs/>
          <w:color w:val="auto"/>
          <w:sz w:val="32"/>
          <w:szCs w:val="32"/>
        </w:rPr>
        <w:t>个三级指标，指标体系详见附件。指标体系</w:t>
      </w:r>
      <w:r>
        <w:rPr>
          <w:rFonts w:hint="eastAsia" w:ascii="仿宋" w:hAnsi="仿宋" w:eastAsia="仿宋" w:cs="仿宋"/>
          <w:bCs/>
          <w:color w:val="auto"/>
          <w:sz w:val="32"/>
          <w:szCs w:val="32"/>
          <w:lang w:eastAsia="zh-CN"/>
        </w:rPr>
        <w:t>分值</w:t>
      </w:r>
      <w:r>
        <w:rPr>
          <w:rFonts w:hint="eastAsia" w:ascii="仿宋" w:hAnsi="仿宋" w:eastAsia="仿宋" w:cs="仿宋"/>
          <w:bCs/>
          <w:color w:val="auto"/>
          <w:sz w:val="32"/>
          <w:szCs w:val="32"/>
        </w:rPr>
        <w:t>为100分</w:t>
      </w:r>
      <w:r>
        <w:rPr>
          <w:rFonts w:hint="eastAsia" w:ascii="仿宋" w:hAnsi="仿宋" w:eastAsia="仿宋" w:cs="仿宋"/>
          <w:bCs/>
          <w:color w:val="auto"/>
          <w:sz w:val="32"/>
          <w:szCs w:val="32"/>
          <w:lang w:eastAsia="zh-CN"/>
        </w:rPr>
        <w:t>。</w:t>
      </w:r>
    </w:p>
    <w:p w14:paraId="310F9486">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2"/>
        <w:rPr>
          <w:rFonts w:hint="eastAsia" w:ascii="仿宋" w:hAnsi="仿宋" w:eastAsia="仿宋" w:cs="仿宋"/>
          <w:b/>
          <w:color w:val="auto"/>
          <w:sz w:val="32"/>
          <w:szCs w:val="32"/>
          <w:lang w:eastAsia="zh-CN"/>
        </w:rPr>
      </w:pPr>
      <w:r>
        <w:rPr>
          <w:rFonts w:hint="eastAsia" w:ascii="仿宋" w:hAnsi="仿宋" w:eastAsia="仿宋" w:cs="仿宋"/>
          <w:b/>
          <w:color w:val="auto"/>
          <w:sz w:val="32"/>
          <w:szCs w:val="32"/>
          <w:lang w:val="en-US" w:eastAsia="zh-CN"/>
        </w:rPr>
        <w:t>4.</w:t>
      </w:r>
      <w:r>
        <w:rPr>
          <w:rFonts w:hint="eastAsia" w:ascii="仿宋" w:hAnsi="仿宋" w:eastAsia="仿宋" w:cs="仿宋"/>
          <w:b/>
          <w:color w:val="auto"/>
          <w:sz w:val="32"/>
          <w:szCs w:val="32"/>
          <w:lang w:eastAsia="zh-CN"/>
        </w:rPr>
        <w:t>评价标准</w:t>
      </w:r>
    </w:p>
    <w:p w14:paraId="7C0AF443">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lang w:eastAsia="zh-CN"/>
        </w:rPr>
      </w:pPr>
      <w:r>
        <w:rPr>
          <w:rFonts w:hint="eastAsia" w:ascii="仿宋" w:hAnsi="仿宋" w:eastAsia="仿宋" w:cs="仿宋"/>
          <w:bCs/>
          <w:color w:val="auto"/>
          <w:sz w:val="32"/>
          <w:szCs w:val="32"/>
          <w:lang w:eastAsia="zh-CN"/>
        </w:rPr>
        <w:t>本次评价结果参考《财政部关于印发&lt;项目支出绩效评价管理办法&gt;的通知》（财预〔2020〕10号）要求分为四个等级，分为优、良、中、差。</w:t>
      </w:r>
    </w:p>
    <w:p w14:paraId="099E9EA3">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lang w:eastAsia="zh-CN"/>
        </w:rPr>
      </w:pPr>
      <w:r>
        <w:rPr>
          <w:rFonts w:hint="eastAsia" w:ascii="仿宋" w:hAnsi="仿宋" w:eastAsia="仿宋" w:cs="仿宋"/>
          <w:bCs/>
          <w:color w:val="auto"/>
          <w:sz w:val="32"/>
          <w:szCs w:val="32"/>
          <w:lang w:eastAsia="zh-CN"/>
        </w:rPr>
        <w:t>综合得分在100—90分（含90分）为优；</w:t>
      </w:r>
    </w:p>
    <w:p w14:paraId="7DBCC365">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lang w:eastAsia="zh-CN"/>
        </w:rPr>
      </w:pPr>
      <w:r>
        <w:rPr>
          <w:rFonts w:hint="eastAsia" w:ascii="仿宋" w:hAnsi="仿宋" w:eastAsia="仿宋" w:cs="仿宋"/>
          <w:bCs/>
          <w:color w:val="auto"/>
          <w:sz w:val="32"/>
          <w:szCs w:val="32"/>
          <w:lang w:eastAsia="zh-CN"/>
        </w:rPr>
        <w:t>综合得分在90—80分（含80分）为良；</w:t>
      </w:r>
    </w:p>
    <w:p w14:paraId="0A89C058">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lang w:eastAsia="zh-CN"/>
        </w:rPr>
      </w:pPr>
      <w:r>
        <w:rPr>
          <w:rFonts w:hint="eastAsia" w:ascii="仿宋" w:hAnsi="仿宋" w:eastAsia="仿宋" w:cs="仿宋"/>
          <w:bCs/>
          <w:color w:val="auto"/>
          <w:sz w:val="32"/>
          <w:szCs w:val="32"/>
          <w:lang w:eastAsia="zh-CN"/>
        </w:rPr>
        <w:t>综合得分在80—60分（含60分）为中；</w:t>
      </w:r>
    </w:p>
    <w:p w14:paraId="154018E1">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lang w:eastAsia="zh-CN"/>
        </w:rPr>
      </w:pPr>
      <w:r>
        <w:rPr>
          <w:rFonts w:hint="eastAsia" w:ascii="仿宋" w:hAnsi="仿宋" w:eastAsia="仿宋" w:cs="仿宋"/>
          <w:bCs/>
          <w:color w:val="auto"/>
          <w:sz w:val="32"/>
          <w:szCs w:val="32"/>
          <w:lang w:eastAsia="zh-CN"/>
        </w:rPr>
        <w:t>综合得分在60分以下为差。</w:t>
      </w:r>
    </w:p>
    <w:p w14:paraId="6DEFDA2E">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1"/>
        <w:rPr>
          <w:rFonts w:ascii="楷体" w:hAnsi="楷体" w:eastAsia="楷体"/>
          <w:b/>
          <w:bCs/>
          <w:color w:val="auto"/>
          <w:sz w:val="32"/>
          <w:szCs w:val="32"/>
        </w:rPr>
      </w:pPr>
      <w:bookmarkStart w:id="529" w:name="_Toc11951"/>
      <w:bookmarkStart w:id="530" w:name="_Toc10861"/>
      <w:r>
        <w:rPr>
          <w:rFonts w:hint="eastAsia" w:ascii="楷体" w:hAnsi="楷体" w:eastAsia="楷体"/>
          <w:b/>
          <w:bCs/>
          <w:color w:val="auto"/>
          <w:sz w:val="32"/>
          <w:szCs w:val="32"/>
        </w:rPr>
        <w:t>（三）绩效评价工作过程</w:t>
      </w:r>
      <w:bookmarkEnd w:id="529"/>
      <w:bookmarkEnd w:id="530"/>
    </w:p>
    <w:p w14:paraId="2DADB51E">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2"/>
        <w:rPr>
          <w:rFonts w:ascii="仿宋" w:hAnsi="仿宋" w:eastAsia="仿宋" w:cs="仿宋"/>
          <w:b/>
          <w:color w:val="auto"/>
          <w:sz w:val="32"/>
          <w:szCs w:val="32"/>
        </w:rPr>
      </w:pPr>
      <w:r>
        <w:rPr>
          <w:rFonts w:ascii="仿宋" w:hAnsi="仿宋" w:eastAsia="仿宋" w:cs="仿宋"/>
          <w:b/>
          <w:color w:val="auto"/>
          <w:sz w:val="32"/>
          <w:szCs w:val="32"/>
        </w:rPr>
        <w:t>1.</w:t>
      </w:r>
      <w:r>
        <w:rPr>
          <w:rFonts w:hint="eastAsia" w:ascii="仿宋" w:hAnsi="仿宋" w:eastAsia="仿宋" w:cs="仿宋"/>
          <w:b/>
          <w:color w:val="auto"/>
          <w:sz w:val="32"/>
          <w:szCs w:val="32"/>
        </w:rPr>
        <w:t>准备阶段</w:t>
      </w:r>
    </w:p>
    <w:p w14:paraId="52EA7EE3">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接受</w:t>
      </w:r>
      <w:r>
        <w:rPr>
          <w:rFonts w:hint="eastAsia" w:ascii="仿宋" w:hAnsi="仿宋" w:eastAsia="仿宋" w:cs="仿宋"/>
          <w:bCs/>
          <w:color w:val="auto"/>
          <w:sz w:val="32"/>
          <w:szCs w:val="32"/>
          <w:lang w:val="en-US" w:eastAsia="zh-CN"/>
        </w:rPr>
        <w:t>遂宁市河东新区财政金融国资管理局委托</w:t>
      </w:r>
      <w:r>
        <w:rPr>
          <w:rFonts w:hint="eastAsia" w:ascii="仿宋" w:hAnsi="仿宋" w:eastAsia="仿宋" w:cs="仿宋"/>
          <w:bCs/>
          <w:color w:val="auto"/>
          <w:sz w:val="32"/>
          <w:szCs w:val="32"/>
        </w:rPr>
        <w:t>，组建评价工作组。与单位财务管理部对接，明确具体工作安排及要求，初步沟通并收取部分单位基础材料。通过查看</w:t>
      </w:r>
      <w:r>
        <w:rPr>
          <w:rFonts w:hint="eastAsia" w:ascii="仿宋" w:hAnsi="仿宋" w:eastAsia="仿宋" w:cs="仿宋"/>
          <w:bCs/>
          <w:color w:val="auto"/>
          <w:sz w:val="32"/>
          <w:szCs w:val="32"/>
          <w:lang w:val="en-US" w:eastAsia="zh-CN"/>
        </w:rPr>
        <w:t>紫竹路幼儿园</w:t>
      </w:r>
      <w:r>
        <w:rPr>
          <w:rFonts w:hint="eastAsia" w:ascii="仿宋" w:hAnsi="仿宋" w:eastAsia="仿宋" w:cs="仿宋"/>
          <w:bCs/>
          <w:color w:val="auto"/>
          <w:sz w:val="32"/>
          <w:szCs w:val="32"/>
        </w:rPr>
        <w:t>初步提交的资料，及网上查阅资料，了解</w:t>
      </w:r>
      <w:r>
        <w:rPr>
          <w:rFonts w:hint="eastAsia" w:ascii="仿宋" w:hAnsi="仿宋" w:eastAsia="仿宋" w:cs="仿宋"/>
          <w:bCs/>
          <w:color w:val="auto"/>
          <w:sz w:val="32"/>
          <w:szCs w:val="32"/>
          <w:lang w:eastAsia="zh-CN"/>
        </w:rPr>
        <w:t>紫竹路幼儿园</w:t>
      </w:r>
      <w:r>
        <w:rPr>
          <w:rFonts w:hint="eastAsia" w:ascii="仿宋" w:hAnsi="仿宋" w:eastAsia="仿宋" w:cs="仿宋"/>
          <w:bCs/>
          <w:color w:val="auto"/>
          <w:sz w:val="32"/>
          <w:szCs w:val="32"/>
        </w:rPr>
        <w:t>整体情况、各</w:t>
      </w:r>
      <w:r>
        <w:rPr>
          <w:rFonts w:hint="eastAsia" w:ascii="仿宋" w:hAnsi="仿宋" w:eastAsia="仿宋" w:cs="仿宋"/>
          <w:bCs/>
          <w:color w:val="auto"/>
          <w:sz w:val="32"/>
          <w:szCs w:val="32"/>
          <w:lang w:val="en-US" w:eastAsia="zh-CN"/>
        </w:rPr>
        <w:t>办公室</w:t>
      </w:r>
      <w:r>
        <w:rPr>
          <w:rFonts w:hint="eastAsia" w:ascii="仿宋" w:hAnsi="仿宋" w:eastAsia="仿宋" w:cs="仿宋"/>
          <w:bCs/>
          <w:color w:val="auto"/>
          <w:sz w:val="32"/>
          <w:szCs w:val="32"/>
        </w:rPr>
        <w:t>工作职责及20</w:t>
      </w:r>
      <w:r>
        <w:rPr>
          <w:rFonts w:hint="eastAsia" w:ascii="仿宋" w:hAnsi="仿宋" w:eastAsia="仿宋" w:cs="仿宋"/>
          <w:bCs/>
          <w:color w:val="auto"/>
          <w:sz w:val="32"/>
          <w:szCs w:val="32"/>
          <w:lang w:val="en-US" w:eastAsia="zh-CN"/>
        </w:rPr>
        <w:t>21</w:t>
      </w:r>
      <w:r>
        <w:rPr>
          <w:rFonts w:hint="eastAsia" w:ascii="仿宋" w:hAnsi="仿宋" w:eastAsia="仿宋" w:cs="仿宋"/>
          <w:bCs/>
          <w:color w:val="auto"/>
          <w:sz w:val="32"/>
          <w:szCs w:val="32"/>
        </w:rPr>
        <w:t>年工作完成情况，明确评价思路，初步拟定评价指标体系及评分标准。</w:t>
      </w:r>
    </w:p>
    <w:p w14:paraId="1610654E">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2"/>
        <w:rPr>
          <w:rFonts w:ascii="仿宋" w:hAnsi="仿宋" w:eastAsia="仿宋" w:cs="仿宋"/>
          <w:b/>
          <w:color w:val="auto"/>
          <w:sz w:val="32"/>
          <w:szCs w:val="32"/>
        </w:rPr>
      </w:pPr>
      <w:r>
        <w:rPr>
          <w:rFonts w:ascii="仿宋" w:hAnsi="仿宋" w:eastAsia="仿宋" w:cs="仿宋"/>
          <w:b/>
          <w:color w:val="auto"/>
          <w:sz w:val="32"/>
          <w:szCs w:val="32"/>
        </w:rPr>
        <w:t>2.</w:t>
      </w:r>
      <w:r>
        <w:rPr>
          <w:rFonts w:hint="eastAsia" w:ascii="仿宋" w:hAnsi="仿宋" w:eastAsia="仿宋" w:cs="仿宋"/>
          <w:b/>
          <w:color w:val="auto"/>
          <w:sz w:val="32"/>
          <w:szCs w:val="32"/>
        </w:rPr>
        <w:t>实施阶段</w:t>
      </w:r>
    </w:p>
    <w:p w14:paraId="43A6E5E1">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cs="仿宋"/>
          <w:bCs/>
          <w:color w:val="auto"/>
          <w:sz w:val="32"/>
          <w:szCs w:val="32"/>
        </w:rPr>
      </w:pPr>
      <w:r>
        <w:rPr>
          <w:rFonts w:hint="eastAsia" w:ascii="仿宋" w:hAnsi="仿宋" w:eastAsia="仿宋" w:cs="仿宋"/>
          <w:bCs/>
          <w:color w:val="auto"/>
          <w:sz w:val="32"/>
          <w:szCs w:val="32"/>
        </w:rPr>
        <w:t>按照既定的安排开展现场评价工作。评价工作组逐一对单位本级各</w:t>
      </w:r>
      <w:r>
        <w:rPr>
          <w:rFonts w:hint="eastAsia" w:ascii="仿宋" w:hAnsi="仿宋" w:eastAsia="仿宋" w:cs="仿宋"/>
          <w:bCs/>
          <w:color w:val="auto"/>
          <w:sz w:val="32"/>
          <w:szCs w:val="32"/>
          <w:lang w:val="en-US" w:eastAsia="zh-CN"/>
        </w:rPr>
        <w:t>办公室</w:t>
      </w:r>
      <w:r>
        <w:rPr>
          <w:rFonts w:hint="eastAsia" w:ascii="仿宋" w:hAnsi="仿宋" w:eastAsia="仿宋" w:cs="仿宋"/>
          <w:bCs/>
          <w:color w:val="auto"/>
          <w:sz w:val="32"/>
          <w:szCs w:val="32"/>
        </w:rPr>
        <w:t>进行座谈，了解各</w:t>
      </w:r>
      <w:r>
        <w:rPr>
          <w:rFonts w:hint="eastAsia" w:ascii="仿宋" w:hAnsi="仿宋" w:eastAsia="仿宋" w:cs="仿宋"/>
          <w:bCs/>
          <w:color w:val="auto"/>
          <w:sz w:val="32"/>
          <w:szCs w:val="32"/>
          <w:lang w:val="en-US" w:eastAsia="zh-CN"/>
        </w:rPr>
        <w:t>办公室</w:t>
      </w:r>
      <w:r>
        <w:rPr>
          <w:rFonts w:hint="eastAsia" w:ascii="仿宋" w:hAnsi="仿宋" w:eastAsia="仿宋" w:cs="仿宋"/>
          <w:bCs/>
          <w:color w:val="auto"/>
          <w:sz w:val="32"/>
          <w:szCs w:val="32"/>
        </w:rPr>
        <w:t>工作职责、年度工作内容及完成情况等。同时对单位</w:t>
      </w:r>
      <w:r>
        <w:rPr>
          <w:rFonts w:hint="eastAsia" w:ascii="仿宋" w:hAnsi="仿宋" w:eastAsia="仿宋" w:cs="仿宋"/>
          <w:bCs/>
          <w:color w:val="auto"/>
          <w:sz w:val="32"/>
          <w:szCs w:val="32"/>
          <w:lang w:val="en-US" w:eastAsia="zh-CN"/>
        </w:rPr>
        <w:t>2021</w:t>
      </w:r>
      <w:r>
        <w:rPr>
          <w:rFonts w:hint="eastAsia" w:ascii="仿宋" w:hAnsi="仿宋" w:eastAsia="仿宋" w:cs="仿宋"/>
          <w:bCs/>
          <w:color w:val="auto"/>
          <w:sz w:val="32"/>
          <w:szCs w:val="32"/>
        </w:rPr>
        <w:t>年财务工作情况进行梳理及资料查看。</w:t>
      </w:r>
    </w:p>
    <w:p w14:paraId="089C00A7">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在座谈调研沟通的基础上，评价机构通过对项目资料的进一步分析，并结合现场调研了解的情况，对项目的疑难点进行梳理，同时补收评价资料。</w:t>
      </w:r>
    </w:p>
    <w:p w14:paraId="1A50CCBD">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2"/>
        <w:rPr>
          <w:rFonts w:ascii="仿宋" w:hAnsi="仿宋" w:eastAsia="仿宋" w:cs="仿宋"/>
          <w:b/>
          <w:color w:val="auto"/>
          <w:sz w:val="32"/>
          <w:szCs w:val="32"/>
        </w:rPr>
      </w:pPr>
      <w:r>
        <w:rPr>
          <w:rFonts w:ascii="仿宋" w:hAnsi="仿宋" w:eastAsia="仿宋" w:cs="仿宋"/>
          <w:b/>
          <w:color w:val="auto"/>
          <w:sz w:val="32"/>
          <w:szCs w:val="32"/>
        </w:rPr>
        <w:t>3.</w:t>
      </w:r>
      <w:r>
        <w:rPr>
          <w:rFonts w:hint="eastAsia" w:ascii="仿宋" w:hAnsi="仿宋" w:eastAsia="仿宋" w:cs="仿宋"/>
          <w:b/>
          <w:color w:val="auto"/>
          <w:sz w:val="32"/>
          <w:szCs w:val="32"/>
        </w:rPr>
        <w:t>总结报告阶段</w:t>
      </w:r>
    </w:p>
    <w:p w14:paraId="37A163C9">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评价工作组在梳理、分析调研资料和相关数据的基础上，结合文献研究，对单位整体的投入、过程、产出和效益等方面进行综合分析和评价，形成绩效评价结论，按照规定的文本格式和内容撰写绩效评价报告</w:t>
      </w:r>
      <w:r>
        <w:rPr>
          <w:rFonts w:hint="eastAsia" w:ascii="仿宋" w:hAnsi="仿宋" w:eastAsia="仿宋" w:cs="仿宋"/>
          <w:bCs/>
          <w:color w:val="auto"/>
          <w:sz w:val="32"/>
          <w:szCs w:val="32"/>
          <w:lang w:eastAsia="zh-CN"/>
        </w:rPr>
        <w:t>，</w:t>
      </w:r>
      <w:r>
        <w:rPr>
          <w:rFonts w:hint="eastAsia" w:ascii="仿宋" w:hAnsi="仿宋" w:eastAsia="仿宋" w:cs="仿宋"/>
          <w:bCs/>
          <w:color w:val="auto"/>
          <w:sz w:val="32"/>
          <w:szCs w:val="32"/>
          <w:lang w:val="en-US" w:eastAsia="zh-CN"/>
        </w:rPr>
        <w:t>并征求委托单位意见，修改完善报告，完成报告质量内部质控等工作</w:t>
      </w:r>
      <w:r>
        <w:rPr>
          <w:rFonts w:hint="eastAsia" w:ascii="仿宋" w:hAnsi="仿宋" w:eastAsia="仿宋" w:cs="仿宋"/>
          <w:bCs/>
          <w:color w:val="auto"/>
          <w:sz w:val="32"/>
          <w:szCs w:val="32"/>
        </w:rPr>
        <w:t>。</w:t>
      </w:r>
    </w:p>
    <w:p w14:paraId="0D8DF264">
      <w:pPr>
        <w:pStyle w:val="3"/>
        <w:pageBreakBefore w:val="0"/>
        <w:numPr>
          <w:ilvl w:val="0"/>
          <w:numId w:val="0"/>
        </w:numPr>
        <w:kinsoku/>
        <w:wordWrap/>
        <w:overflowPunct/>
        <w:topLinePunct w:val="0"/>
        <w:autoSpaceDE/>
        <w:autoSpaceDN/>
        <w:bidi w:val="0"/>
        <w:spacing w:line="560" w:lineRule="exact"/>
        <w:ind w:leftChars="200"/>
        <w:rPr>
          <w:rFonts w:hint="eastAsia"/>
          <w:color w:val="auto"/>
        </w:rPr>
      </w:pPr>
      <w:bookmarkStart w:id="531" w:name="_Toc22244"/>
      <w:bookmarkStart w:id="532" w:name="_Toc4850"/>
      <w:r>
        <w:rPr>
          <w:rFonts w:hint="eastAsia"/>
          <w:color w:val="auto"/>
          <w:lang w:eastAsia="zh-CN"/>
        </w:rPr>
        <w:t>四、</w:t>
      </w:r>
      <w:r>
        <w:rPr>
          <w:rFonts w:hint="eastAsia"/>
          <w:color w:val="auto"/>
        </w:rPr>
        <w:t>基本运行绩效情况</w:t>
      </w:r>
      <w:bookmarkEnd w:id="531"/>
      <w:bookmarkEnd w:id="532"/>
    </w:p>
    <w:p w14:paraId="0B328766">
      <w:pPr>
        <w:pStyle w:val="5"/>
        <w:pageBreakBefore w:val="0"/>
        <w:widowControl w:val="0"/>
        <w:kinsoku/>
        <w:wordWrap/>
        <w:overflowPunct/>
        <w:topLinePunct w:val="0"/>
        <w:autoSpaceDE/>
        <w:autoSpaceDN/>
        <w:bidi w:val="0"/>
        <w:snapToGrid/>
        <w:spacing w:line="560" w:lineRule="exact"/>
        <w:ind w:left="-10" w:leftChars="0" w:firstLine="643" w:firstLineChars="200"/>
        <w:textAlignment w:val="auto"/>
        <w:rPr>
          <w:color w:val="auto"/>
          <w:highlight w:val="none"/>
        </w:rPr>
      </w:pPr>
      <w:bookmarkStart w:id="533" w:name="_Toc4890"/>
      <w:bookmarkStart w:id="534" w:name="_Toc31849"/>
      <w:r>
        <w:rPr>
          <w:rFonts w:hint="eastAsia"/>
          <w:color w:val="auto"/>
          <w:highlight w:val="none"/>
          <w:lang w:val="en-US" w:eastAsia="zh-CN"/>
        </w:rPr>
        <w:t>预算管理情况</w:t>
      </w:r>
      <w:bookmarkEnd w:id="533"/>
      <w:bookmarkEnd w:id="534"/>
    </w:p>
    <w:p w14:paraId="3F662942">
      <w:pPr>
        <w:pStyle w:val="6"/>
        <w:pageBreakBefore w:val="0"/>
        <w:widowControl w:val="0"/>
        <w:numPr>
          <w:ilvl w:val="-1"/>
          <w:numId w:val="0"/>
          <w:ins w:id="3" w:author="WPS_10036724" w:date=""/>
        </w:numPr>
        <w:kinsoku/>
        <w:wordWrap/>
        <w:overflowPunct/>
        <w:topLinePunct w:val="0"/>
        <w:autoSpaceDE/>
        <w:autoSpaceDN/>
        <w:bidi w:val="0"/>
        <w:snapToGrid/>
        <w:spacing w:line="560" w:lineRule="exact"/>
        <w:ind w:left="0" w:leftChars="0" w:firstLine="842" w:firstLineChars="262"/>
        <w:textAlignment w:val="auto"/>
        <w:outlineLvl w:val="2"/>
        <w:rPr>
          <w:rFonts w:hint="eastAsia" w:ascii="仿宋" w:hAnsi="仿宋" w:eastAsia="仿宋" w:cs="仿宋"/>
          <w:b/>
          <w:bCs w:val="0"/>
          <w:color w:val="auto"/>
        </w:rPr>
      </w:pPr>
      <w:r>
        <w:rPr>
          <w:rFonts w:hint="eastAsia" w:ascii="仿宋" w:hAnsi="仿宋" w:eastAsia="仿宋" w:cs="仿宋"/>
          <w:b/>
          <w:bCs w:val="0"/>
          <w:color w:val="auto"/>
          <w:lang w:val="en-US" w:eastAsia="zh-CN"/>
        </w:rPr>
        <w:t>1、内控</w:t>
      </w:r>
      <w:r>
        <w:rPr>
          <w:rFonts w:hint="eastAsia" w:ascii="仿宋" w:hAnsi="仿宋" w:eastAsia="仿宋" w:cs="仿宋"/>
          <w:b/>
          <w:bCs w:val="0"/>
          <w:color w:val="auto"/>
        </w:rPr>
        <w:t>制度建设</w:t>
      </w:r>
    </w:p>
    <w:p w14:paraId="205C6B90">
      <w:pPr>
        <w:pStyle w:val="4"/>
        <w:pageBreakBefore w:val="0"/>
        <w:widowControl w:val="0"/>
        <w:kinsoku/>
        <w:wordWrap/>
        <w:overflowPunct/>
        <w:topLinePunct w:val="0"/>
        <w:autoSpaceDE/>
        <w:autoSpaceDN/>
        <w:bidi w:val="0"/>
        <w:spacing w:line="560" w:lineRule="exact"/>
        <w:ind w:firstLine="640" w:firstLineChars="200"/>
        <w:textAlignment w:val="auto"/>
        <w:rPr>
          <w:rFonts w:hint="default"/>
          <w:color w:val="auto"/>
          <w:highlight w:val="none"/>
          <w:lang w:val="en-US"/>
        </w:rPr>
      </w:pPr>
      <w:r>
        <w:rPr>
          <w:rFonts w:hint="eastAsia"/>
          <w:color w:val="auto"/>
          <w:lang w:val="en-US" w:eastAsia="zh-CN"/>
        </w:rPr>
        <w:t>紫竹路幼儿园</w:t>
      </w:r>
      <w:r>
        <w:rPr>
          <w:rFonts w:hint="eastAsia"/>
          <w:color w:val="auto"/>
        </w:rPr>
        <w:t>根据《行政事业单位内部控制规范》（财会〔201</w:t>
      </w:r>
      <w:r>
        <w:rPr>
          <w:rFonts w:hint="eastAsia"/>
          <w:color w:val="auto"/>
          <w:lang w:val="en-US" w:eastAsia="zh-CN"/>
        </w:rPr>
        <w:t>2</w:t>
      </w:r>
      <w:r>
        <w:rPr>
          <w:rFonts w:hint="eastAsia"/>
          <w:color w:val="auto"/>
        </w:rPr>
        <w:t>〕</w:t>
      </w:r>
      <w:r>
        <w:rPr>
          <w:rFonts w:hint="eastAsia"/>
          <w:color w:val="auto"/>
          <w:lang w:val="en-US" w:eastAsia="zh-CN"/>
        </w:rPr>
        <w:t>21</w:t>
      </w:r>
      <w:r>
        <w:rPr>
          <w:rFonts w:hint="eastAsia"/>
          <w:color w:val="auto"/>
        </w:rPr>
        <w:t>号）</w:t>
      </w:r>
      <w:r>
        <w:rPr>
          <w:rFonts w:hint="eastAsia"/>
          <w:color w:val="auto"/>
          <w:lang w:eastAsia="zh-CN"/>
        </w:rPr>
        <w:t>、《财政部关于全面推进行政事业单位内部控制建设的指导意见》</w:t>
      </w:r>
      <w:r>
        <w:rPr>
          <w:rFonts w:hint="eastAsia"/>
          <w:color w:val="auto"/>
        </w:rPr>
        <w:t>财会〔201</w:t>
      </w:r>
      <w:r>
        <w:rPr>
          <w:rFonts w:hint="eastAsia"/>
          <w:color w:val="auto"/>
          <w:lang w:val="en-US" w:eastAsia="zh-CN"/>
        </w:rPr>
        <w:t>5</w:t>
      </w:r>
      <w:r>
        <w:rPr>
          <w:rFonts w:hint="eastAsia"/>
          <w:color w:val="auto"/>
        </w:rPr>
        <w:t>〕</w:t>
      </w:r>
      <w:r>
        <w:rPr>
          <w:rFonts w:hint="eastAsia"/>
          <w:color w:val="auto"/>
          <w:lang w:val="en-US" w:eastAsia="zh-CN"/>
        </w:rPr>
        <w:t>24</w:t>
      </w:r>
      <w:r>
        <w:rPr>
          <w:rFonts w:hint="eastAsia"/>
          <w:color w:val="auto"/>
        </w:rPr>
        <w:t>号）</w:t>
      </w:r>
      <w:r>
        <w:rPr>
          <w:rFonts w:hint="eastAsia"/>
          <w:color w:val="auto"/>
          <w:lang w:eastAsia="zh-CN"/>
        </w:rPr>
        <w:t>、</w:t>
      </w:r>
      <w:r>
        <w:rPr>
          <w:rFonts w:hint="eastAsia"/>
          <w:color w:val="auto"/>
        </w:rPr>
        <w:t>《行政事业单位内部控制报告管理制度（试行）</w:t>
      </w:r>
      <w:r>
        <w:rPr>
          <w:rFonts w:hint="eastAsia"/>
          <w:color w:val="auto"/>
          <w:lang w:eastAsia="zh-CN"/>
        </w:rPr>
        <w:t>》</w:t>
      </w:r>
      <w:r>
        <w:rPr>
          <w:rFonts w:hint="eastAsia"/>
          <w:color w:val="auto"/>
        </w:rPr>
        <w:t>（</w:t>
      </w:r>
      <w:r>
        <w:rPr>
          <w:rFonts w:hint="eastAsia"/>
          <w:color w:val="auto"/>
          <w:lang w:val="en-US" w:eastAsia="zh-CN"/>
        </w:rPr>
        <w:t>财政部</w:t>
      </w:r>
      <w:r>
        <w:rPr>
          <w:rFonts w:hint="eastAsia"/>
          <w:color w:val="auto"/>
        </w:rPr>
        <w:t>〔201</w:t>
      </w:r>
      <w:r>
        <w:rPr>
          <w:rFonts w:hint="eastAsia"/>
          <w:color w:val="auto"/>
          <w:lang w:val="en-US" w:eastAsia="zh-CN"/>
        </w:rPr>
        <w:t>7</w:t>
      </w:r>
      <w:r>
        <w:rPr>
          <w:rFonts w:hint="eastAsia"/>
          <w:color w:val="auto"/>
        </w:rPr>
        <w:t>〕</w:t>
      </w:r>
      <w:r>
        <w:rPr>
          <w:rFonts w:hint="eastAsia"/>
          <w:color w:val="auto"/>
          <w:lang w:val="en-US" w:eastAsia="zh-CN"/>
        </w:rPr>
        <w:t>3</w:t>
      </w:r>
      <w:r>
        <w:rPr>
          <w:rFonts w:hint="eastAsia"/>
          <w:color w:val="auto"/>
        </w:rPr>
        <w:t>号）</w:t>
      </w:r>
      <w:r>
        <w:rPr>
          <w:rFonts w:hint="eastAsia"/>
          <w:color w:val="auto"/>
          <w:lang w:val="en-US" w:eastAsia="zh-CN"/>
        </w:rPr>
        <w:t>等法律法规，</w:t>
      </w:r>
      <w:r>
        <w:rPr>
          <w:rFonts w:hint="eastAsia"/>
          <w:color w:val="auto"/>
        </w:rPr>
        <w:t>结合本校的业务性质、业务范围及管理架构</w:t>
      </w:r>
      <w:r>
        <w:rPr>
          <w:rFonts w:hint="eastAsia"/>
          <w:color w:val="auto"/>
          <w:lang w:eastAsia="zh-CN"/>
        </w:rPr>
        <w:t>，</w:t>
      </w:r>
      <w:r>
        <w:rPr>
          <w:rFonts w:hint="eastAsia"/>
          <w:color w:val="auto"/>
          <w:lang w:val="en-US" w:eastAsia="zh-CN"/>
        </w:rPr>
        <w:t>编制了</w:t>
      </w:r>
      <w:r>
        <w:rPr>
          <w:rFonts w:hint="eastAsia"/>
          <w:color w:val="auto"/>
        </w:rPr>
        <w:t>《</w:t>
      </w:r>
      <w:r>
        <w:rPr>
          <w:rFonts w:hint="eastAsia"/>
          <w:color w:val="auto"/>
          <w:lang w:val="en-US" w:eastAsia="zh-CN"/>
        </w:rPr>
        <w:t>遂宁市河东新区紫竹路幼儿园内部控制规范建设手册汇编》</w:t>
      </w:r>
      <w:r>
        <w:rPr>
          <w:rFonts w:hint="eastAsia"/>
          <w:color w:val="auto"/>
        </w:rPr>
        <w:t>，</w:t>
      </w:r>
      <w:r>
        <w:rPr>
          <w:rFonts w:hint="eastAsia"/>
          <w:color w:val="auto"/>
          <w:lang w:val="en-US" w:eastAsia="zh-CN"/>
        </w:rPr>
        <w:t>内容明确</w:t>
      </w:r>
      <w:r>
        <w:rPr>
          <w:rFonts w:hint="eastAsia"/>
          <w:color w:val="auto"/>
        </w:rPr>
        <w:t>了</w:t>
      </w:r>
      <w:r>
        <w:rPr>
          <w:rFonts w:hint="eastAsia"/>
          <w:color w:val="auto"/>
          <w:lang w:eastAsia="zh-CN"/>
        </w:rPr>
        <w:t>紫竹路幼儿园</w:t>
      </w:r>
      <w:r>
        <w:rPr>
          <w:rFonts w:hint="eastAsia"/>
          <w:color w:val="auto"/>
          <w:lang w:val="en-US" w:eastAsia="zh-CN"/>
        </w:rPr>
        <w:t>组织架构</w:t>
      </w:r>
      <w:r>
        <w:rPr>
          <w:rFonts w:hint="eastAsia"/>
          <w:color w:val="auto"/>
          <w:lang w:eastAsia="zh-CN"/>
        </w:rPr>
        <w:t>、</w:t>
      </w:r>
      <w:r>
        <w:rPr>
          <w:rFonts w:hint="eastAsia"/>
          <w:color w:val="auto"/>
          <w:lang w:val="en-US" w:eastAsia="zh-CN"/>
        </w:rPr>
        <w:t>归口管理</w:t>
      </w:r>
      <w:r>
        <w:rPr>
          <w:rFonts w:hint="eastAsia"/>
          <w:color w:val="auto"/>
        </w:rPr>
        <w:t>、</w:t>
      </w:r>
      <w:r>
        <w:rPr>
          <w:rFonts w:hint="eastAsia"/>
          <w:color w:val="auto"/>
          <w:lang w:val="en-US" w:eastAsia="zh-CN"/>
        </w:rPr>
        <w:t>单位内部责任体系、预算业务控制建设、收支业务控制建设、资产业务控制建设、采购业务控制建设和内部控制评价与监督等内容</w:t>
      </w:r>
      <w:r>
        <w:rPr>
          <w:rFonts w:hint="eastAsia"/>
          <w:color w:val="auto"/>
        </w:rPr>
        <w:t>。</w:t>
      </w:r>
      <w:r>
        <w:rPr>
          <w:rFonts w:hint="eastAsia"/>
          <w:color w:val="auto"/>
          <w:highlight w:val="none"/>
        </w:rPr>
        <w:t>经评价组核查，</w:t>
      </w:r>
      <w:r>
        <w:rPr>
          <w:rFonts w:hint="eastAsia"/>
          <w:color w:val="auto"/>
          <w:highlight w:val="none"/>
          <w:lang w:val="en-US" w:eastAsia="zh-CN"/>
        </w:rPr>
        <w:t>制度内容合法规范，图表完整。</w:t>
      </w:r>
    </w:p>
    <w:p w14:paraId="3FC2751F">
      <w:pPr>
        <w:pStyle w:val="4"/>
        <w:pageBreakBefore w:val="0"/>
        <w:widowControl w:val="0"/>
        <w:kinsoku/>
        <w:wordWrap/>
        <w:overflowPunct/>
        <w:topLinePunct w:val="0"/>
        <w:autoSpaceDE/>
        <w:autoSpaceDN/>
        <w:bidi w:val="0"/>
        <w:spacing w:line="560" w:lineRule="exact"/>
        <w:ind w:firstLine="643" w:firstLineChars="200"/>
        <w:textAlignment w:val="auto"/>
        <w:outlineLvl w:val="2"/>
        <w:rPr>
          <w:rFonts w:hint="default"/>
          <w:b/>
          <w:bCs/>
          <w:color w:val="auto"/>
          <w:highlight w:val="none"/>
          <w:lang w:val="en-US" w:eastAsia="zh-CN"/>
        </w:rPr>
      </w:pPr>
      <w:r>
        <w:rPr>
          <w:rFonts w:hint="eastAsia"/>
          <w:b/>
          <w:bCs/>
          <w:color w:val="auto"/>
          <w:highlight w:val="none"/>
          <w:lang w:val="en-US" w:eastAsia="zh-CN"/>
        </w:rPr>
        <w:t>2、预决算信息公开情况</w:t>
      </w:r>
    </w:p>
    <w:p w14:paraId="4BCFF9FE">
      <w:pPr>
        <w:pStyle w:val="4"/>
        <w:pageBreakBefore w:val="0"/>
        <w:widowControl w:val="0"/>
        <w:kinsoku/>
        <w:wordWrap/>
        <w:overflowPunct/>
        <w:topLinePunct w:val="0"/>
        <w:autoSpaceDE/>
        <w:autoSpaceDN/>
        <w:bidi w:val="0"/>
        <w:snapToGrid/>
        <w:spacing w:line="560" w:lineRule="exact"/>
        <w:ind w:firstLine="640" w:firstLineChars="200"/>
        <w:textAlignment w:val="auto"/>
        <w:rPr>
          <w:rFonts w:hint="eastAsia"/>
          <w:color w:val="auto"/>
          <w:highlight w:val="none"/>
          <w:lang w:val="en-US" w:eastAsia="zh-CN"/>
        </w:rPr>
      </w:pPr>
      <w:r>
        <w:rPr>
          <w:rFonts w:hint="eastAsia"/>
          <w:color w:val="auto"/>
          <w:highlight w:val="none"/>
          <w:lang w:val="en-US" w:eastAsia="zh-CN"/>
        </w:rPr>
        <w:t>紫竹路幼儿园</w:t>
      </w:r>
      <w:r>
        <w:rPr>
          <w:rFonts w:hint="eastAsia"/>
          <w:color w:val="auto"/>
          <w:lang w:val="en-US" w:eastAsia="zh-CN"/>
        </w:rPr>
        <w:t>严格按照遂宁市河东新区财政金融国资管理局预决算信息公开要求，</w:t>
      </w:r>
      <w:r>
        <w:rPr>
          <w:rFonts w:hint="eastAsia"/>
          <w:color w:val="auto"/>
          <w:highlight w:val="none"/>
          <w:lang w:val="en-US" w:eastAsia="zh-CN"/>
        </w:rPr>
        <w:t>2021年预算编制说明和附件、2021年决算公开编制说明和附件已按规定公开于遂宁市河东新区政府信息公开网</w:t>
      </w:r>
      <w:r>
        <w:rPr>
          <w:rFonts w:hint="eastAsia"/>
          <w:color w:val="auto"/>
          <w:lang w:val="en-US" w:eastAsia="zh-CN"/>
        </w:rPr>
        <w:t>，信息真实、完整</w:t>
      </w:r>
      <w:r>
        <w:rPr>
          <w:rFonts w:hint="eastAsia"/>
          <w:color w:val="auto"/>
          <w:highlight w:val="none"/>
          <w:lang w:val="en-US" w:eastAsia="zh-CN"/>
        </w:rPr>
        <w:t>，符合信息公开相关法律法规规定。</w:t>
      </w:r>
    </w:p>
    <w:p w14:paraId="0E7D9AB8">
      <w:pPr>
        <w:pStyle w:val="5"/>
        <w:pageBreakBefore w:val="0"/>
        <w:widowControl w:val="0"/>
        <w:kinsoku/>
        <w:wordWrap/>
        <w:overflowPunct/>
        <w:topLinePunct w:val="0"/>
        <w:autoSpaceDE/>
        <w:autoSpaceDN/>
        <w:bidi w:val="0"/>
        <w:snapToGrid/>
        <w:spacing w:line="560" w:lineRule="exact"/>
        <w:ind w:left="-10" w:leftChars="0" w:firstLine="643" w:firstLineChars="200"/>
        <w:textAlignment w:val="auto"/>
        <w:rPr>
          <w:color w:val="auto"/>
        </w:rPr>
      </w:pPr>
      <w:bookmarkStart w:id="535" w:name="_Toc20094"/>
      <w:bookmarkStart w:id="536" w:name="_Toc14893"/>
      <w:r>
        <w:rPr>
          <w:rFonts w:hint="eastAsia"/>
          <w:color w:val="auto"/>
        </w:rPr>
        <w:t>财务管理</w:t>
      </w:r>
      <w:bookmarkEnd w:id="535"/>
      <w:bookmarkEnd w:id="536"/>
    </w:p>
    <w:p w14:paraId="420E145E">
      <w:pPr>
        <w:pStyle w:val="4"/>
        <w:pageBreakBefore w:val="0"/>
        <w:widowControl w:val="0"/>
        <w:kinsoku/>
        <w:wordWrap/>
        <w:overflowPunct/>
        <w:topLinePunct w:val="0"/>
        <w:autoSpaceDE/>
        <w:autoSpaceDN/>
        <w:bidi w:val="0"/>
        <w:snapToGrid/>
        <w:spacing w:line="560" w:lineRule="exact"/>
        <w:ind w:firstLine="640" w:firstLineChars="200"/>
        <w:textAlignment w:val="auto"/>
        <w:rPr>
          <w:rFonts w:hint="eastAsia" w:eastAsia="仿宋_GB2312"/>
          <w:color w:val="auto"/>
          <w:lang w:val="en-US" w:eastAsia="zh-CN"/>
        </w:rPr>
      </w:pPr>
      <w:r>
        <w:rPr>
          <w:rFonts w:hint="eastAsia"/>
          <w:color w:val="auto"/>
          <w:lang w:val="en-US" w:eastAsia="zh-CN"/>
        </w:rPr>
        <w:t>在资金的使用和管理方面，紫竹路幼儿园依据《中华人民共和国会计法》等相关管理办法和文件，制定《财务管理制度》《食堂财务管理制度》《三重一大管理制度》等相关财务制度，</w:t>
      </w:r>
      <w:r>
        <w:rPr>
          <w:color w:val="auto"/>
        </w:rPr>
        <w:t>对财务报销、</w:t>
      </w:r>
      <w:r>
        <w:rPr>
          <w:rFonts w:hint="eastAsia"/>
          <w:color w:val="auto"/>
          <w:lang w:val="en-US" w:eastAsia="zh-CN"/>
        </w:rPr>
        <w:t>差旅费</w:t>
      </w:r>
      <w:r>
        <w:rPr>
          <w:color w:val="auto"/>
        </w:rPr>
        <w:t>等各环节作了详细规定</w:t>
      </w:r>
      <w:r>
        <w:rPr>
          <w:rFonts w:hint="eastAsia"/>
          <w:color w:val="auto"/>
          <w:lang w:eastAsia="zh-CN"/>
        </w:rPr>
        <w:t>，</w:t>
      </w:r>
      <w:r>
        <w:rPr>
          <w:rFonts w:hint="eastAsia"/>
          <w:color w:val="auto"/>
          <w:lang w:val="en-US" w:eastAsia="zh-CN"/>
        </w:rPr>
        <w:t>财务管理制度规范、健全。评价组随机抽查“维修费”相关</w:t>
      </w:r>
      <w:r>
        <w:rPr>
          <w:rFonts w:hint="eastAsia"/>
          <w:color w:val="auto"/>
        </w:rPr>
        <w:t>凭证</w:t>
      </w:r>
      <w:r>
        <w:rPr>
          <w:rFonts w:hint="eastAsia"/>
          <w:color w:val="auto"/>
          <w:lang w:eastAsia="zh-CN"/>
        </w:rPr>
        <w:t>，</w:t>
      </w:r>
      <w:r>
        <w:rPr>
          <w:rFonts w:hint="eastAsia"/>
          <w:color w:val="auto"/>
          <w:lang w:val="en-US" w:eastAsia="zh-CN"/>
        </w:rPr>
        <w:t>紫竹路幼儿园按照规定程序，</w:t>
      </w:r>
      <w:r>
        <w:rPr>
          <w:rFonts w:hint="eastAsia"/>
          <w:color w:val="auto"/>
        </w:rPr>
        <w:t>票据齐全</w:t>
      </w:r>
      <w:r>
        <w:rPr>
          <w:rFonts w:hint="eastAsia"/>
          <w:color w:val="auto"/>
          <w:lang w:eastAsia="zh-CN"/>
        </w:rPr>
        <w:t>，</w:t>
      </w:r>
      <w:r>
        <w:rPr>
          <w:rFonts w:hint="eastAsia"/>
          <w:color w:val="auto"/>
          <w:lang w:val="en-US" w:eastAsia="zh-CN"/>
        </w:rPr>
        <w:t>实行逐级审批后支付，</w:t>
      </w:r>
      <w:r>
        <w:rPr>
          <w:rFonts w:hint="eastAsia"/>
          <w:color w:val="auto"/>
        </w:rPr>
        <w:t>审批流程规范</w:t>
      </w:r>
      <w:r>
        <w:rPr>
          <w:rFonts w:hint="eastAsia"/>
          <w:color w:val="auto"/>
          <w:lang w:eastAsia="zh-CN"/>
        </w:rPr>
        <w:t>，</w:t>
      </w:r>
      <w:r>
        <w:rPr>
          <w:rFonts w:hint="eastAsia"/>
          <w:color w:val="auto"/>
          <w:lang w:val="en-US" w:eastAsia="zh-CN"/>
        </w:rPr>
        <w:t>符合管理制度的规定</w:t>
      </w:r>
      <w:r>
        <w:rPr>
          <w:rFonts w:hint="eastAsia"/>
          <w:color w:val="auto"/>
          <w:lang w:eastAsia="zh-CN"/>
        </w:rPr>
        <w:t>。</w:t>
      </w:r>
    </w:p>
    <w:p w14:paraId="05061A17">
      <w:pPr>
        <w:pStyle w:val="5"/>
        <w:pageBreakBefore w:val="0"/>
        <w:widowControl w:val="0"/>
        <w:kinsoku/>
        <w:wordWrap/>
        <w:overflowPunct/>
        <w:topLinePunct w:val="0"/>
        <w:autoSpaceDE/>
        <w:autoSpaceDN/>
        <w:bidi w:val="0"/>
        <w:snapToGrid/>
        <w:spacing w:line="560" w:lineRule="exact"/>
        <w:ind w:left="-10" w:leftChars="0" w:firstLine="643" w:firstLineChars="200"/>
        <w:textAlignment w:val="auto"/>
        <w:rPr>
          <w:rFonts w:hint="eastAsia"/>
          <w:color w:val="auto"/>
          <w:lang w:val="en-US" w:eastAsia="zh-CN"/>
        </w:rPr>
      </w:pPr>
      <w:bookmarkStart w:id="537" w:name="_Toc24747"/>
      <w:bookmarkStart w:id="538" w:name="_Toc4505"/>
      <w:r>
        <w:rPr>
          <w:rFonts w:hint="eastAsia"/>
          <w:color w:val="auto"/>
          <w:lang w:val="en-US" w:eastAsia="zh-Hans"/>
        </w:rPr>
        <w:t>政府采购</w:t>
      </w:r>
      <w:bookmarkEnd w:id="537"/>
      <w:bookmarkEnd w:id="538"/>
    </w:p>
    <w:p w14:paraId="1CDFEE88">
      <w:pPr>
        <w:pStyle w:val="4"/>
        <w:pageBreakBefore w:val="0"/>
        <w:kinsoku/>
        <w:wordWrap/>
        <w:overflowPunct/>
        <w:topLinePunct w:val="0"/>
        <w:autoSpaceDE/>
        <w:autoSpaceDN/>
        <w:bidi w:val="0"/>
        <w:spacing w:line="560" w:lineRule="exact"/>
        <w:ind w:firstLine="640" w:firstLineChars="200"/>
        <w:textAlignment w:val="auto"/>
        <w:rPr>
          <w:rFonts w:hint="eastAsia"/>
          <w:color w:val="auto"/>
          <w:lang w:val="en-US" w:eastAsia="zh-CN"/>
        </w:rPr>
      </w:pPr>
      <w:r>
        <w:rPr>
          <w:rFonts w:hint="eastAsia"/>
          <w:color w:val="auto"/>
          <w:lang w:val="en-US" w:eastAsia="zh-CN"/>
        </w:rPr>
        <w:t>紫竹路幼儿园制定《政府采购业务控制流程》制度，形成了公平竞争、规范管理和社会监督的政府采购机制。根据现场座谈及资料审查，</w:t>
      </w:r>
      <w:r>
        <w:rPr>
          <w:rFonts w:hint="eastAsia"/>
          <w:color w:val="auto"/>
          <w:highlight w:val="none"/>
          <w:lang w:val="en-US" w:eastAsia="zh-CN"/>
        </w:rPr>
        <w:t>2021年紫竹路幼儿园无政府采购项目</w:t>
      </w:r>
      <w:r>
        <w:rPr>
          <w:rFonts w:hint="eastAsia"/>
          <w:color w:val="auto"/>
          <w:lang w:val="en-US" w:eastAsia="zh-CN"/>
        </w:rPr>
        <w:t>。</w:t>
      </w:r>
    </w:p>
    <w:p w14:paraId="6A855403">
      <w:pPr>
        <w:pStyle w:val="5"/>
        <w:pageBreakBefore w:val="0"/>
        <w:widowControl w:val="0"/>
        <w:kinsoku/>
        <w:wordWrap/>
        <w:overflowPunct/>
        <w:topLinePunct w:val="0"/>
        <w:autoSpaceDE/>
        <w:autoSpaceDN/>
        <w:bidi w:val="0"/>
        <w:snapToGrid/>
        <w:spacing w:line="560" w:lineRule="exact"/>
        <w:ind w:left="-10" w:leftChars="0" w:firstLine="643" w:firstLineChars="200"/>
        <w:textAlignment w:val="auto"/>
        <w:rPr>
          <w:rFonts w:hint="eastAsia"/>
          <w:color w:val="auto"/>
          <w:lang w:val="en-US" w:eastAsia="zh-CN"/>
        </w:rPr>
      </w:pPr>
      <w:bookmarkStart w:id="539" w:name="_Toc13643"/>
      <w:bookmarkStart w:id="540" w:name="_Toc17952"/>
      <w:r>
        <w:rPr>
          <w:rFonts w:hint="eastAsia"/>
          <w:color w:val="auto"/>
          <w:lang w:val="en-US" w:eastAsia="zh-CN"/>
        </w:rPr>
        <w:t>资产管理情况</w:t>
      </w:r>
      <w:bookmarkEnd w:id="539"/>
      <w:bookmarkEnd w:id="540"/>
    </w:p>
    <w:p w14:paraId="74F2B6ED">
      <w:pPr>
        <w:pStyle w:val="4"/>
        <w:pageBreakBefore w:val="0"/>
        <w:kinsoku/>
        <w:wordWrap/>
        <w:overflowPunct/>
        <w:topLinePunct w:val="0"/>
        <w:autoSpaceDE/>
        <w:autoSpaceDN/>
        <w:bidi w:val="0"/>
        <w:spacing w:line="560" w:lineRule="exact"/>
        <w:ind w:firstLine="640" w:firstLineChars="200"/>
        <w:textAlignment w:val="auto"/>
        <w:rPr>
          <w:rFonts w:hint="eastAsia"/>
          <w:color w:val="auto"/>
          <w:lang w:val="en-US" w:eastAsia="zh-CN"/>
        </w:rPr>
      </w:pPr>
      <w:r>
        <w:rPr>
          <w:rFonts w:hint="eastAsia"/>
          <w:color w:val="auto"/>
          <w:lang w:val="en-US" w:eastAsia="zh-CN"/>
        </w:rPr>
        <w:t>紫竹路幼儿园依据《行政单位财务规则》（财政部令〔2012〕第71号）等文件的规定，结合紫竹路幼儿园实际情况，制定《资产管理制度》，明确固定资产按照“资产管理与预算管理相结合、资产管理与财务管理相结合、实物管理与价值管理相结合”及“统一领导、分级负责、责任到人、物尽其用”的原则实施管理，对固定资产的资产范围、分类、计价、配置、使用、处置等流程也有明确规定。针对固定资产在用情况，评价组对紫竹路幼儿园2021年购置的通用设备如台式电脑、广播系统等进行了抽查工作，抽查设备均处于在用状态，固定资产在用状态与实际一致。</w:t>
      </w:r>
    </w:p>
    <w:p w14:paraId="169A6CAA">
      <w:pPr>
        <w:pStyle w:val="3"/>
        <w:pageBreakBefore w:val="0"/>
        <w:numPr>
          <w:ilvl w:val="0"/>
          <w:numId w:val="0"/>
        </w:numPr>
        <w:kinsoku/>
        <w:wordWrap/>
        <w:overflowPunct/>
        <w:topLinePunct w:val="0"/>
        <w:autoSpaceDE/>
        <w:autoSpaceDN/>
        <w:bidi w:val="0"/>
        <w:spacing w:line="560" w:lineRule="exact"/>
        <w:ind w:leftChars="200"/>
        <w:rPr>
          <w:rFonts w:hint="eastAsia" w:ascii="Times New Roman" w:hAnsi="Times New Roman" w:eastAsia="黑体" w:cs="Times New Roman"/>
          <w:bCs/>
          <w:color w:val="auto"/>
          <w:kern w:val="44"/>
          <w:sz w:val="32"/>
          <w:szCs w:val="44"/>
          <w:lang w:val="zh-CN" w:eastAsia="zh-CN" w:bidi="ar-SA"/>
        </w:rPr>
      </w:pPr>
      <w:bookmarkStart w:id="541" w:name="_Toc19813"/>
      <w:r>
        <w:rPr>
          <w:rFonts w:hint="eastAsia" w:cs="Times New Roman"/>
          <w:bCs/>
          <w:color w:val="auto"/>
          <w:kern w:val="44"/>
          <w:sz w:val="32"/>
          <w:szCs w:val="44"/>
          <w:lang w:val="zh-CN" w:eastAsia="zh-CN" w:bidi="ar-SA"/>
        </w:rPr>
        <w:t>五、</w:t>
      </w:r>
      <w:r>
        <w:rPr>
          <w:rFonts w:hint="eastAsia" w:ascii="Times New Roman" w:hAnsi="Times New Roman" w:eastAsia="黑体" w:cs="Times New Roman"/>
          <w:bCs/>
          <w:color w:val="auto"/>
          <w:kern w:val="44"/>
          <w:sz w:val="32"/>
          <w:szCs w:val="44"/>
          <w:lang w:val="zh-CN" w:eastAsia="zh-CN" w:bidi="ar-SA"/>
        </w:rPr>
        <w:t>部门</w:t>
      </w:r>
      <w:r>
        <w:rPr>
          <w:rFonts w:hint="eastAsia"/>
          <w:color w:val="auto"/>
          <w:szCs w:val="44"/>
          <w:lang w:val="en-US" w:eastAsia="zh-CN"/>
        </w:rPr>
        <w:t>重点</w:t>
      </w:r>
      <w:r>
        <w:rPr>
          <w:rFonts w:hint="eastAsia" w:ascii="Times New Roman" w:hAnsi="Times New Roman" w:eastAsia="黑体" w:cs="Times New Roman"/>
          <w:bCs/>
          <w:color w:val="auto"/>
          <w:kern w:val="44"/>
          <w:sz w:val="32"/>
          <w:szCs w:val="44"/>
          <w:lang w:val="zh-CN" w:eastAsia="zh-CN" w:bidi="ar-SA"/>
        </w:rPr>
        <w:t>履职效能</w:t>
      </w:r>
      <w:bookmarkEnd w:id="541"/>
    </w:p>
    <w:p w14:paraId="5A78A561">
      <w:pPr>
        <w:pStyle w:val="5"/>
        <w:pageBreakBefore w:val="0"/>
        <w:widowControl w:val="0"/>
        <w:kinsoku/>
        <w:wordWrap/>
        <w:overflowPunct/>
        <w:topLinePunct w:val="0"/>
        <w:autoSpaceDE/>
        <w:autoSpaceDN/>
        <w:bidi w:val="0"/>
        <w:spacing w:line="560" w:lineRule="exact"/>
        <w:ind w:firstLine="643" w:firstLineChars="200"/>
        <w:textAlignment w:val="auto"/>
        <w:rPr>
          <w:color w:val="auto"/>
        </w:rPr>
      </w:pPr>
      <w:bookmarkStart w:id="542" w:name="_Toc23766"/>
      <w:bookmarkStart w:id="543" w:name="_Toc27082"/>
      <w:r>
        <w:rPr>
          <w:rFonts w:hint="eastAsia"/>
          <w:color w:val="auto"/>
        </w:rPr>
        <w:t>部门履职的年度总体目标</w:t>
      </w:r>
      <w:bookmarkEnd w:id="542"/>
      <w:bookmarkEnd w:id="543"/>
    </w:p>
    <w:p w14:paraId="0E193323">
      <w:pPr>
        <w:pStyle w:val="4"/>
        <w:pageBreakBefore w:val="0"/>
        <w:widowControl w:val="0"/>
        <w:kinsoku/>
        <w:wordWrap/>
        <w:overflowPunct/>
        <w:topLinePunct w:val="0"/>
        <w:autoSpaceDE/>
        <w:autoSpaceDN/>
        <w:bidi w:val="0"/>
        <w:spacing w:line="560" w:lineRule="exact"/>
        <w:ind w:firstLine="640" w:firstLineChars="200"/>
        <w:textAlignment w:val="auto"/>
        <w:rPr>
          <w:rFonts w:hint="default"/>
          <w:color w:val="auto"/>
          <w:lang w:val="en-US" w:eastAsia="zh-CN"/>
        </w:rPr>
      </w:pPr>
      <w:r>
        <w:rPr>
          <w:rFonts w:hint="eastAsia"/>
          <w:color w:val="auto"/>
          <w:lang w:val="en-US" w:eastAsia="zh-CN"/>
        </w:rPr>
        <w:t>2021年，紫竹路幼儿园</w:t>
      </w:r>
      <w:r>
        <w:rPr>
          <w:rFonts w:hint="default"/>
          <w:color w:val="auto"/>
          <w:lang w:val="en-US" w:eastAsia="zh-CN"/>
        </w:rPr>
        <w:t>按照市委、市政府总体部署和全省</w:t>
      </w:r>
      <w:r>
        <w:rPr>
          <w:rFonts w:hint="eastAsia"/>
          <w:color w:val="auto"/>
          <w:lang w:val="en-US" w:eastAsia="zh-CN"/>
        </w:rPr>
        <w:t>教育教学</w:t>
      </w:r>
      <w:r>
        <w:rPr>
          <w:rFonts w:hint="default"/>
          <w:color w:val="auto"/>
          <w:lang w:val="en-US" w:eastAsia="zh-CN"/>
        </w:rPr>
        <w:t>工作要求</w:t>
      </w:r>
      <w:r>
        <w:rPr>
          <w:rFonts w:hint="eastAsia"/>
          <w:color w:val="auto"/>
          <w:lang w:val="en-US" w:eastAsia="zh-CN"/>
        </w:rPr>
        <w:t>，年度总体目标为提高幼儿园基本运行保障能力，做好幼儿园教学教育管理工作，及时足额保障教师工资福利；做到幼儿园日常工作有序开展，完成全年教育教学目标任务。</w:t>
      </w:r>
    </w:p>
    <w:p w14:paraId="0AC269C6">
      <w:pPr>
        <w:pStyle w:val="5"/>
        <w:pageBreakBefore w:val="0"/>
        <w:widowControl w:val="0"/>
        <w:kinsoku/>
        <w:wordWrap/>
        <w:overflowPunct/>
        <w:topLinePunct w:val="0"/>
        <w:autoSpaceDE/>
        <w:autoSpaceDN/>
        <w:bidi w:val="0"/>
        <w:spacing w:line="560" w:lineRule="exact"/>
        <w:ind w:firstLine="643" w:firstLineChars="200"/>
        <w:textAlignment w:val="auto"/>
        <w:rPr>
          <w:color w:val="auto"/>
        </w:rPr>
      </w:pPr>
      <w:bookmarkStart w:id="544" w:name="_Toc21733"/>
      <w:bookmarkStart w:id="545" w:name="_Toc6709"/>
      <w:r>
        <w:rPr>
          <w:rFonts w:hint="eastAsia"/>
          <w:color w:val="auto"/>
        </w:rPr>
        <w:t>重点工作任务绩效目标完成情况</w:t>
      </w:r>
      <w:bookmarkEnd w:id="544"/>
      <w:bookmarkEnd w:id="545"/>
    </w:p>
    <w:p w14:paraId="6B295DBB">
      <w:pPr>
        <w:pStyle w:val="6"/>
        <w:pageBreakBefore w:val="0"/>
        <w:numPr>
          <w:ilvl w:val="2"/>
          <w:numId w:val="0"/>
        </w:numPr>
        <w:kinsoku/>
        <w:wordWrap/>
        <w:overflowPunct/>
        <w:topLinePunct w:val="0"/>
        <w:autoSpaceDE/>
        <w:autoSpaceDN/>
        <w:bidi w:val="0"/>
        <w:adjustRightInd/>
        <w:spacing w:line="560" w:lineRule="exact"/>
        <w:ind w:leftChars="0" w:firstLine="643" w:firstLineChars="200"/>
        <w:rPr>
          <w:rFonts w:hint="default"/>
          <w:b/>
          <w:bCs w:val="0"/>
          <w:color w:val="auto"/>
          <w:lang w:val="en-US" w:eastAsia="zh-CN"/>
        </w:rPr>
      </w:pPr>
      <w:r>
        <w:rPr>
          <w:rFonts w:hint="eastAsia"/>
          <w:b/>
          <w:bCs w:val="0"/>
          <w:color w:val="auto"/>
          <w:lang w:val="en-US" w:eastAsia="zh-CN"/>
        </w:rPr>
        <w:t>1.党建工作</w:t>
      </w:r>
    </w:p>
    <w:p w14:paraId="655EBF37">
      <w:pPr>
        <w:pStyle w:val="4"/>
        <w:pageBreakBefore w:val="0"/>
        <w:widowControl w:val="0"/>
        <w:kinsoku/>
        <w:wordWrap/>
        <w:overflowPunct/>
        <w:topLinePunct w:val="0"/>
        <w:autoSpaceDE/>
        <w:autoSpaceDN/>
        <w:bidi w:val="0"/>
        <w:spacing w:line="560" w:lineRule="exact"/>
        <w:ind w:firstLine="640" w:firstLineChars="200"/>
        <w:textAlignment w:val="auto"/>
        <w:rPr>
          <w:rFonts w:hint="default"/>
          <w:color w:val="auto"/>
          <w:lang w:val="en-US" w:eastAsia="zh-CN"/>
        </w:rPr>
      </w:pPr>
      <w:r>
        <w:rPr>
          <w:rFonts w:hint="eastAsia"/>
          <w:color w:val="auto"/>
          <w:lang w:val="en-US" w:eastAsia="zh-CN"/>
        </w:rPr>
        <w:t>紫竹路幼儿园2021年</w:t>
      </w:r>
      <w:r>
        <w:rPr>
          <w:rFonts w:hint="eastAsia"/>
          <w:color w:val="auto"/>
          <w:lang w:val="en-US"/>
        </w:rPr>
        <w:t>通过集中学习、个人自学、集体研讨、党史竞赛、主题党日、党史微课堂等</w:t>
      </w:r>
      <w:r>
        <w:rPr>
          <w:rFonts w:hint="eastAsia"/>
          <w:color w:val="auto"/>
          <w:lang w:val="en-US" w:eastAsia="zh-CN"/>
        </w:rPr>
        <w:t>方式</w:t>
      </w:r>
      <w:r>
        <w:rPr>
          <w:rFonts w:hint="eastAsia"/>
          <w:color w:val="auto"/>
          <w:lang w:val="en-US"/>
        </w:rPr>
        <w:t>，</w:t>
      </w:r>
      <w:r>
        <w:rPr>
          <w:rFonts w:hint="eastAsia"/>
          <w:color w:val="auto"/>
          <w:lang w:val="en-US" w:eastAsia="zh-CN"/>
        </w:rPr>
        <w:t>加强了</w:t>
      </w:r>
      <w:r>
        <w:rPr>
          <w:rFonts w:hint="eastAsia"/>
          <w:color w:val="auto"/>
          <w:lang w:val="en-US"/>
        </w:rPr>
        <w:t>每位党员和群众正确理解党的理论</w:t>
      </w:r>
      <w:r>
        <w:rPr>
          <w:rFonts w:hint="eastAsia"/>
          <w:color w:val="auto"/>
          <w:lang w:val="en-US" w:eastAsia="zh-CN"/>
        </w:rPr>
        <w:t>意识；</w:t>
      </w:r>
      <w:r>
        <w:rPr>
          <w:rFonts w:hint="eastAsia"/>
          <w:color w:val="auto"/>
          <w:lang w:val="en-US"/>
        </w:rPr>
        <w:t>结合“四史”教育，以“百年党史浸课程 红色基因润童心”为主题深入开展建党100周年师幼系列活动</w:t>
      </w:r>
      <w:r>
        <w:rPr>
          <w:rFonts w:hint="eastAsia"/>
          <w:color w:val="auto"/>
          <w:lang w:val="en-US" w:eastAsia="zh-CN"/>
        </w:rPr>
        <w:t>；</w:t>
      </w:r>
      <w:r>
        <w:rPr>
          <w:rFonts w:hint="eastAsia"/>
          <w:color w:val="auto"/>
          <w:lang w:val="en-US"/>
        </w:rPr>
        <w:t>创新成立了“思政建设”“红色记忆”“雷锋精神”“生活教育”“专业成长”5个党员先锋岗，共计开展60余次先锋岗活动，让党员同志引领全体教职工继承和发扬党的传统精神，忠诚履职，做党和人民放心的教育者</w:t>
      </w:r>
      <w:r>
        <w:rPr>
          <w:rFonts w:hint="eastAsia" w:ascii="仿宋" w:hAnsi="仿宋" w:eastAsia="仿宋" w:cs="仿宋"/>
          <w:sz w:val="32"/>
          <w:szCs w:val="32"/>
        </w:rPr>
        <w:t>。</w:t>
      </w:r>
    </w:p>
    <w:p w14:paraId="3A8260CA">
      <w:pPr>
        <w:pStyle w:val="6"/>
        <w:pageBreakBefore w:val="0"/>
        <w:numPr>
          <w:ilvl w:val="2"/>
          <w:numId w:val="0"/>
        </w:numPr>
        <w:kinsoku/>
        <w:wordWrap/>
        <w:overflowPunct/>
        <w:topLinePunct w:val="0"/>
        <w:autoSpaceDE/>
        <w:autoSpaceDN/>
        <w:bidi w:val="0"/>
        <w:adjustRightInd/>
        <w:spacing w:line="560" w:lineRule="exact"/>
        <w:ind w:leftChars="0" w:firstLine="643" w:firstLineChars="200"/>
        <w:rPr>
          <w:rFonts w:hint="eastAsia"/>
          <w:b/>
          <w:bCs w:val="0"/>
          <w:color w:val="auto"/>
          <w:lang w:val="en-US" w:eastAsia="zh-CN"/>
        </w:rPr>
      </w:pPr>
      <w:r>
        <w:rPr>
          <w:rFonts w:hint="eastAsia"/>
          <w:b/>
          <w:bCs w:val="0"/>
          <w:color w:val="auto"/>
          <w:lang w:val="en-US" w:eastAsia="zh-CN"/>
        </w:rPr>
        <w:t>2.安全工作</w:t>
      </w:r>
    </w:p>
    <w:p w14:paraId="5DEAC45F">
      <w:pPr>
        <w:pStyle w:val="4"/>
        <w:pageBreakBefore w:val="0"/>
        <w:widowControl w:val="0"/>
        <w:kinsoku/>
        <w:wordWrap/>
        <w:overflowPunct/>
        <w:topLinePunct w:val="0"/>
        <w:autoSpaceDE/>
        <w:autoSpaceDN/>
        <w:bidi w:val="0"/>
        <w:spacing w:line="560" w:lineRule="exact"/>
        <w:ind w:firstLine="640" w:firstLineChars="200"/>
        <w:textAlignment w:val="auto"/>
        <w:rPr>
          <w:rFonts w:hint="eastAsia"/>
          <w:color w:val="auto"/>
          <w:lang w:val="en-US" w:eastAsia="zh-CN"/>
        </w:rPr>
      </w:pPr>
      <w:r>
        <w:rPr>
          <w:rFonts w:hint="eastAsia"/>
          <w:color w:val="auto"/>
          <w:lang w:val="en-US" w:eastAsia="zh-CN"/>
        </w:rPr>
        <w:t>紫竹路幼儿园2021年通过严抓学校常规安全工作，完善安全管理制度，做实幼儿安全演练、安全隐患排查、疫情防控等工作；通过创新幼儿安全教育课堂，将抽象的安全知识趣味化形象化，利用每周一主题晨会进行“安全故事情景剧”表演，让孩子们通过亲身体验获得安全知识，增强了幼儿安全防范意识</w:t>
      </w:r>
      <w:r>
        <w:rPr>
          <w:rFonts w:hint="eastAsia" w:ascii="仿宋" w:hAnsi="仿宋" w:eastAsia="仿宋"/>
          <w:sz w:val="32"/>
          <w:szCs w:val="32"/>
          <w:lang w:eastAsia="zh-CN"/>
        </w:rPr>
        <w:t>。</w:t>
      </w:r>
    </w:p>
    <w:p w14:paraId="07494563">
      <w:pPr>
        <w:pStyle w:val="6"/>
        <w:pageBreakBefore w:val="0"/>
        <w:numPr>
          <w:ilvl w:val="2"/>
          <w:numId w:val="0"/>
        </w:numPr>
        <w:kinsoku/>
        <w:wordWrap/>
        <w:overflowPunct/>
        <w:topLinePunct w:val="0"/>
        <w:autoSpaceDE/>
        <w:autoSpaceDN/>
        <w:bidi w:val="0"/>
        <w:adjustRightInd/>
        <w:spacing w:line="560" w:lineRule="exact"/>
        <w:ind w:leftChars="0" w:firstLine="643" w:firstLineChars="200"/>
        <w:rPr>
          <w:rFonts w:hint="default"/>
          <w:b/>
          <w:bCs w:val="0"/>
          <w:color w:val="auto"/>
          <w:lang w:val="en-US" w:eastAsia="zh-CN"/>
        </w:rPr>
      </w:pPr>
      <w:r>
        <w:rPr>
          <w:rFonts w:hint="eastAsia"/>
          <w:b/>
          <w:bCs w:val="0"/>
          <w:color w:val="auto"/>
          <w:lang w:val="en-US" w:eastAsia="zh-CN"/>
        </w:rPr>
        <w:t>3.优化教师队伍工作</w:t>
      </w:r>
    </w:p>
    <w:p w14:paraId="36CDF692">
      <w:pPr>
        <w:pStyle w:val="4"/>
        <w:pageBreakBefore w:val="0"/>
        <w:widowControl w:val="0"/>
        <w:kinsoku/>
        <w:wordWrap/>
        <w:overflowPunct/>
        <w:topLinePunct w:val="0"/>
        <w:autoSpaceDE/>
        <w:autoSpaceDN/>
        <w:bidi w:val="0"/>
        <w:spacing w:line="560" w:lineRule="exact"/>
        <w:ind w:firstLine="640" w:firstLineChars="200"/>
        <w:textAlignment w:val="auto"/>
        <w:rPr>
          <w:rFonts w:hint="eastAsia" w:eastAsia="仿宋"/>
          <w:color w:val="auto"/>
          <w:lang w:val="en-US" w:eastAsia="zh-CN"/>
        </w:rPr>
      </w:pPr>
      <w:r>
        <w:rPr>
          <w:rFonts w:hint="eastAsia"/>
          <w:color w:val="auto"/>
          <w:lang w:val="en-US" w:eastAsia="zh-CN"/>
        </w:rPr>
        <w:t>紫竹路幼儿园2021年</w:t>
      </w:r>
      <w:r>
        <w:rPr>
          <w:rFonts w:hint="eastAsia"/>
          <w:color w:val="auto"/>
          <w:lang w:val="en-US"/>
        </w:rPr>
        <w:t>通过开展师德师风专题讲座、演讲比赛、签署承诺书等，把全体教师的思想统一</w:t>
      </w:r>
      <w:r>
        <w:rPr>
          <w:rFonts w:hint="eastAsia"/>
          <w:color w:val="auto"/>
          <w:lang w:val="en-US" w:eastAsia="zh-CN"/>
        </w:rPr>
        <w:t>到“</w:t>
      </w:r>
      <w:r>
        <w:rPr>
          <w:rFonts w:hint="eastAsia"/>
          <w:color w:val="auto"/>
          <w:lang w:val="en-US"/>
        </w:rPr>
        <w:t>四有好老师</w:t>
      </w:r>
      <w:r>
        <w:rPr>
          <w:rFonts w:hint="eastAsia"/>
          <w:color w:val="auto"/>
          <w:lang w:val="en-US" w:eastAsia="zh-CN"/>
        </w:rPr>
        <w:t>”“</w:t>
      </w:r>
      <w:r>
        <w:rPr>
          <w:rFonts w:hint="eastAsia"/>
          <w:color w:val="auto"/>
          <w:lang w:val="en-US"/>
        </w:rPr>
        <w:t>四个引路人</w:t>
      </w:r>
      <w:r>
        <w:rPr>
          <w:rFonts w:hint="eastAsia"/>
          <w:color w:val="auto"/>
          <w:lang w:val="en-US" w:eastAsia="zh-CN"/>
        </w:rPr>
        <w:t>”</w:t>
      </w:r>
      <w:r>
        <w:rPr>
          <w:rFonts w:hint="eastAsia"/>
          <w:color w:val="auto"/>
          <w:lang w:val="en-US"/>
        </w:rPr>
        <w:t>的要求上</w:t>
      </w:r>
      <w:r>
        <w:rPr>
          <w:rFonts w:hint="eastAsia"/>
          <w:color w:val="auto"/>
          <w:lang w:val="en-US" w:eastAsia="zh-CN"/>
        </w:rPr>
        <w:t>；</w:t>
      </w:r>
      <w:r>
        <w:rPr>
          <w:rFonts w:hint="eastAsia"/>
          <w:color w:val="auto"/>
          <w:lang w:val="en-US"/>
        </w:rPr>
        <w:t>加大培训力度，制定教师成长档案</w:t>
      </w:r>
      <w:r>
        <w:rPr>
          <w:rFonts w:hint="eastAsia"/>
          <w:color w:val="auto"/>
          <w:lang w:val="en-US" w:eastAsia="zh-CN"/>
        </w:rPr>
        <w:t>；</w:t>
      </w:r>
      <w:r>
        <w:rPr>
          <w:rFonts w:hint="eastAsia"/>
          <w:color w:val="auto"/>
          <w:lang w:val="en-US"/>
        </w:rPr>
        <w:t>先后30余次派遣40余人到徐州、重庆、成都、绵阳等地参加幼教专项培训</w:t>
      </w:r>
      <w:r>
        <w:rPr>
          <w:rFonts w:hint="eastAsia"/>
          <w:color w:val="auto"/>
          <w:lang w:val="en-US" w:eastAsia="zh-CN"/>
        </w:rPr>
        <w:t>，</w:t>
      </w:r>
      <w:r>
        <w:rPr>
          <w:rFonts w:hint="eastAsia"/>
          <w:color w:val="auto"/>
          <w:lang w:val="en-US"/>
        </w:rPr>
        <w:t>并定期组织全园教师进行赛课活动、技能展示、师徒结对等基本功训练，提高教师综合素质</w:t>
      </w:r>
      <w:r>
        <w:rPr>
          <w:rFonts w:hint="eastAsia"/>
          <w:color w:val="auto"/>
          <w:lang w:val="en-US" w:eastAsia="zh-CN"/>
        </w:rPr>
        <w:t>，</w:t>
      </w:r>
      <w:r>
        <w:rPr>
          <w:rFonts w:hint="eastAsia"/>
          <w:color w:val="auto"/>
          <w:lang w:val="en-US"/>
        </w:rPr>
        <w:t>教师先后获得市、区级先进教育工作者、师德标兵、优秀教师等荣誉称号。</w:t>
      </w:r>
    </w:p>
    <w:p w14:paraId="296BB18C">
      <w:pPr>
        <w:pStyle w:val="6"/>
        <w:pageBreakBefore w:val="0"/>
        <w:numPr>
          <w:ilvl w:val="2"/>
          <w:numId w:val="0"/>
        </w:numPr>
        <w:kinsoku/>
        <w:wordWrap/>
        <w:overflowPunct/>
        <w:topLinePunct w:val="0"/>
        <w:autoSpaceDE/>
        <w:autoSpaceDN/>
        <w:bidi w:val="0"/>
        <w:adjustRightInd/>
        <w:spacing w:line="560" w:lineRule="exact"/>
        <w:ind w:leftChars="0" w:firstLine="643" w:firstLineChars="200"/>
        <w:rPr>
          <w:rFonts w:hint="eastAsia"/>
          <w:b/>
          <w:bCs w:val="0"/>
          <w:color w:val="auto"/>
          <w:lang w:val="en-US" w:eastAsia="zh-CN"/>
        </w:rPr>
      </w:pPr>
      <w:r>
        <w:rPr>
          <w:rFonts w:hint="eastAsia"/>
          <w:b/>
          <w:bCs w:val="0"/>
          <w:color w:val="auto"/>
          <w:lang w:val="en-US" w:eastAsia="zh-CN"/>
        </w:rPr>
        <w:t>4.教育工作</w:t>
      </w:r>
    </w:p>
    <w:p w14:paraId="094106DF">
      <w:pPr>
        <w:pStyle w:val="4"/>
        <w:pageBreakBefore w:val="0"/>
        <w:widowControl w:val="0"/>
        <w:kinsoku/>
        <w:wordWrap/>
        <w:overflowPunct/>
        <w:topLinePunct w:val="0"/>
        <w:autoSpaceDE/>
        <w:autoSpaceDN/>
        <w:bidi w:val="0"/>
        <w:spacing w:line="560" w:lineRule="exact"/>
        <w:ind w:firstLine="640" w:firstLineChars="200"/>
        <w:textAlignment w:val="auto"/>
        <w:rPr>
          <w:rFonts w:hint="eastAsia"/>
          <w:color w:val="auto"/>
          <w:lang w:val="en-US" w:eastAsia="zh-CN"/>
        </w:rPr>
      </w:pPr>
      <w:r>
        <w:rPr>
          <w:rFonts w:hint="eastAsia"/>
          <w:color w:val="auto"/>
          <w:lang w:val="en-US" w:eastAsia="zh-CN"/>
        </w:rPr>
        <w:t>紫竹路幼儿园2021年从构建育人体系、全面推进幼小衔接、举办市级现场会等5大方面开展</w:t>
      </w:r>
      <w:r>
        <w:rPr>
          <w:rFonts w:hint="eastAsia"/>
          <w:color w:val="auto"/>
          <w:lang w:val="en-US"/>
        </w:rPr>
        <w:t>突出优质教育</w:t>
      </w:r>
      <w:r>
        <w:rPr>
          <w:rFonts w:hint="eastAsia"/>
          <w:color w:val="auto"/>
          <w:lang w:val="en-US" w:eastAsia="zh-CN"/>
        </w:rPr>
        <w:t>、</w:t>
      </w:r>
      <w:r>
        <w:rPr>
          <w:rFonts w:hint="eastAsia"/>
          <w:color w:val="auto"/>
          <w:lang w:val="en-US"/>
        </w:rPr>
        <w:t>创建示范学校</w:t>
      </w:r>
      <w:r>
        <w:rPr>
          <w:rFonts w:hint="eastAsia"/>
          <w:color w:val="auto"/>
          <w:lang w:val="en-US" w:eastAsia="zh-CN"/>
        </w:rPr>
        <w:t>工作。</w:t>
      </w:r>
      <w:r>
        <w:rPr>
          <w:rFonts w:hint="eastAsia"/>
          <w:color w:val="auto"/>
          <w:lang w:val="en-US"/>
        </w:rPr>
        <w:t>以</w:t>
      </w:r>
      <w:r>
        <w:rPr>
          <w:rFonts w:hint="eastAsia"/>
          <w:color w:val="auto"/>
          <w:lang w:val="en-US" w:eastAsia="zh-CN"/>
        </w:rPr>
        <w:t>“</w:t>
      </w:r>
      <w:r>
        <w:rPr>
          <w:rFonts w:hint="eastAsia"/>
          <w:color w:val="auto"/>
          <w:lang w:val="en-US"/>
        </w:rPr>
        <w:t>向下扎根，向上生长</w:t>
      </w:r>
      <w:r>
        <w:rPr>
          <w:rFonts w:hint="eastAsia"/>
          <w:color w:val="auto"/>
          <w:lang w:val="en-US" w:eastAsia="zh-CN"/>
        </w:rPr>
        <w:t>”</w:t>
      </w:r>
      <w:r>
        <w:rPr>
          <w:rFonts w:hint="eastAsia"/>
          <w:color w:val="auto"/>
          <w:lang w:val="en-US"/>
        </w:rPr>
        <w:t>为办园理念，以</w:t>
      </w:r>
      <w:r>
        <w:rPr>
          <w:rFonts w:hint="eastAsia"/>
          <w:color w:val="auto"/>
          <w:lang w:val="en-US" w:eastAsia="zh-CN"/>
        </w:rPr>
        <w:t>“</w:t>
      </w:r>
      <w:r>
        <w:rPr>
          <w:rFonts w:hint="eastAsia"/>
          <w:color w:val="auto"/>
          <w:lang w:val="en-US"/>
        </w:rPr>
        <w:t>品格教育，探索教育</w:t>
      </w:r>
      <w:r>
        <w:rPr>
          <w:rFonts w:hint="eastAsia"/>
          <w:color w:val="auto"/>
          <w:lang w:val="en-US" w:eastAsia="zh-CN"/>
        </w:rPr>
        <w:t>”</w:t>
      </w:r>
      <w:r>
        <w:rPr>
          <w:rFonts w:hint="eastAsia"/>
          <w:color w:val="auto"/>
          <w:lang w:val="en-US"/>
        </w:rPr>
        <w:t>为育人特色，以1+5+N为育人模式，创设了十大特色课程，八大主题活动，三大系列环境文化</w:t>
      </w:r>
      <w:r>
        <w:rPr>
          <w:rFonts w:hint="eastAsia"/>
          <w:color w:val="auto"/>
          <w:lang w:val="en-US" w:eastAsia="zh-CN"/>
        </w:rPr>
        <w:t>；</w:t>
      </w:r>
      <w:r>
        <w:rPr>
          <w:rFonts w:hint="eastAsia"/>
          <w:color w:val="auto"/>
          <w:lang w:val="en-US"/>
        </w:rPr>
        <w:t>创设了大型区域游戏</w:t>
      </w:r>
      <w:r>
        <w:rPr>
          <w:rFonts w:hint="eastAsia"/>
          <w:color w:val="auto"/>
          <w:lang w:val="en-US" w:eastAsia="zh-CN"/>
        </w:rPr>
        <w:t>“</w:t>
      </w:r>
      <w:r>
        <w:rPr>
          <w:rFonts w:hint="eastAsia"/>
          <w:color w:val="auto"/>
          <w:lang w:val="en-US"/>
        </w:rPr>
        <w:t>奇奇乐园</w:t>
      </w:r>
      <w:r>
        <w:rPr>
          <w:rFonts w:hint="eastAsia"/>
          <w:color w:val="auto"/>
          <w:lang w:val="en-US" w:eastAsia="zh-CN"/>
        </w:rPr>
        <w:t>”</w:t>
      </w:r>
      <w:r>
        <w:rPr>
          <w:rFonts w:hint="eastAsia"/>
          <w:color w:val="auto"/>
          <w:lang w:val="en-US"/>
        </w:rPr>
        <w:t>主题游戏区19个，创意功能室7个</w:t>
      </w:r>
      <w:r>
        <w:rPr>
          <w:rFonts w:hint="eastAsia"/>
          <w:color w:val="auto"/>
          <w:lang w:val="en-US" w:eastAsia="zh-CN"/>
        </w:rPr>
        <w:t>；</w:t>
      </w:r>
      <w:r>
        <w:rPr>
          <w:rFonts w:hint="eastAsia"/>
          <w:color w:val="auto"/>
          <w:lang w:val="en-US"/>
        </w:rPr>
        <w:t>成立全覆盖课题专项小组，并成功申报《品格教育的实践与探究》、《基于儿童视角的探索教育实践与研究》两项市级课题</w:t>
      </w:r>
      <w:r>
        <w:rPr>
          <w:rFonts w:hint="eastAsia"/>
          <w:color w:val="auto"/>
          <w:lang w:val="en-US" w:eastAsia="zh-CN"/>
        </w:rPr>
        <w:t>；</w:t>
      </w:r>
      <w:r>
        <w:rPr>
          <w:rFonts w:hint="eastAsia"/>
          <w:color w:val="auto"/>
          <w:lang w:val="en-US"/>
        </w:rPr>
        <w:t>共赴10余个优质园参观学习，接待20余个姊妹园观摩交流，指导5个辐射园开展工作，实现资源共享、共同发展</w:t>
      </w:r>
      <w:r>
        <w:rPr>
          <w:rFonts w:hint="eastAsia"/>
          <w:color w:val="auto"/>
          <w:lang w:val="en-US" w:eastAsia="zh-CN"/>
        </w:rPr>
        <w:t>；</w:t>
      </w:r>
      <w:r>
        <w:rPr>
          <w:rFonts w:hint="eastAsia"/>
          <w:color w:val="auto"/>
          <w:lang w:val="en-US"/>
        </w:rPr>
        <w:t>成功承办现场活动，接待50余所幼儿园100余人到园观摩，获得幼教同仁们的高度赞誉</w:t>
      </w:r>
      <w:r>
        <w:rPr>
          <w:rFonts w:hint="eastAsia"/>
          <w:color w:val="auto"/>
          <w:lang w:val="en-US" w:eastAsia="zh-CN"/>
        </w:rPr>
        <w:t>；</w:t>
      </w:r>
      <w:r>
        <w:rPr>
          <w:rFonts w:hint="eastAsia"/>
          <w:color w:val="auto"/>
          <w:lang w:val="en-US"/>
        </w:rPr>
        <w:t>在二十余所申报市一级幼儿园中脱颖而出，以绝对的优势成功评为遂宁市一级幼儿园</w:t>
      </w:r>
      <w:r>
        <w:rPr>
          <w:rFonts w:hint="eastAsia"/>
          <w:color w:val="auto"/>
          <w:lang w:val="en-US" w:eastAsia="zh-CN"/>
        </w:rPr>
        <w:t>；顺利完成2021年教学教研工作。</w:t>
      </w:r>
    </w:p>
    <w:p w14:paraId="0364AFAC">
      <w:pPr>
        <w:pStyle w:val="3"/>
        <w:pageBreakBefore w:val="0"/>
        <w:widowControl w:val="0"/>
        <w:numPr>
          <w:ilvl w:val="0"/>
          <w:numId w:val="0"/>
        </w:numPr>
        <w:kinsoku/>
        <w:wordWrap/>
        <w:overflowPunct/>
        <w:topLinePunct w:val="0"/>
        <w:autoSpaceDE/>
        <w:autoSpaceDN/>
        <w:bidi w:val="0"/>
        <w:spacing w:line="560" w:lineRule="exact"/>
        <w:ind w:firstLine="640" w:firstLineChars="200"/>
        <w:textAlignment w:val="auto"/>
        <w:rPr>
          <w:rFonts w:hint="default" w:eastAsia="黑体"/>
          <w:color w:val="auto"/>
          <w:lang w:val="en-US" w:eastAsia="zh-CN"/>
        </w:rPr>
      </w:pPr>
      <w:bookmarkStart w:id="546" w:name="_Toc3597"/>
      <w:bookmarkStart w:id="547" w:name="_Toc1591"/>
      <w:r>
        <w:rPr>
          <w:rFonts w:hint="eastAsia"/>
          <w:color w:val="auto"/>
          <w:lang w:val="en-US" w:eastAsia="zh-CN"/>
        </w:rPr>
        <w:t>六、</w:t>
      </w:r>
      <w:r>
        <w:rPr>
          <w:rFonts w:hint="eastAsia"/>
          <w:color w:val="auto"/>
        </w:rPr>
        <w:t>评价结论</w:t>
      </w:r>
      <w:r>
        <w:rPr>
          <w:rFonts w:hint="eastAsia"/>
          <w:color w:val="auto"/>
          <w:lang w:val="en-US" w:eastAsia="zh-CN"/>
        </w:rPr>
        <w:t>及绩效分析</w:t>
      </w:r>
      <w:bookmarkEnd w:id="546"/>
      <w:bookmarkEnd w:id="547"/>
    </w:p>
    <w:p w14:paraId="481CDA77">
      <w:pPr>
        <w:pStyle w:val="5"/>
        <w:pageBreakBefore w:val="0"/>
        <w:widowControl w:val="0"/>
        <w:numPr>
          <w:ilvl w:val="1"/>
          <w:numId w:val="0"/>
        </w:numPr>
        <w:kinsoku/>
        <w:wordWrap/>
        <w:overflowPunct/>
        <w:topLinePunct w:val="0"/>
        <w:autoSpaceDE/>
        <w:autoSpaceDN/>
        <w:bidi w:val="0"/>
        <w:spacing w:line="560" w:lineRule="exact"/>
        <w:ind w:leftChars="0" w:firstLine="643" w:firstLineChars="200"/>
        <w:textAlignment w:val="auto"/>
        <w:rPr>
          <w:rFonts w:hint="default" w:eastAsia="仿宋_GB2312"/>
          <w:color w:val="auto"/>
          <w:lang w:val="en-US" w:eastAsia="zh-CN"/>
        </w:rPr>
      </w:pPr>
      <w:bookmarkStart w:id="548" w:name="_Toc4233"/>
      <w:bookmarkStart w:id="549" w:name="_Toc24642"/>
      <w:r>
        <w:rPr>
          <w:rFonts w:hint="eastAsia"/>
          <w:color w:val="auto"/>
          <w:lang w:eastAsia="zh-CN"/>
        </w:rPr>
        <w:t>（</w:t>
      </w:r>
      <w:r>
        <w:rPr>
          <w:rFonts w:hint="eastAsia"/>
          <w:color w:val="auto"/>
          <w:lang w:val="en-US" w:eastAsia="zh-CN"/>
        </w:rPr>
        <w:t>一）</w:t>
      </w:r>
      <w:r>
        <w:rPr>
          <w:rFonts w:hint="eastAsia"/>
          <w:color w:val="auto"/>
        </w:rPr>
        <w:t>评价结论</w:t>
      </w:r>
      <w:bookmarkEnd w:id="548"/>
      <w:bookmarkEnd w:id="549"/>
    </w:p>
    <w:p w14:paraId="1D308A7B">
      <w:pPr>
        <w:pStyle w:val="7"/>
        <w:pageBreakBefore w:val="0"/>
        <w:kinsoku/>
        <w:wordWrap/>
        <w:overflowPunct/>
        <w:topLinePunct w:val="0"/>
        <w:autoSpaceDE/>
        <w:autoSpaceDN/>
        <w:bidi w:val="0"/>
        <w:spacing w:line="560" w:lineRule="exact"/>
        <w:ind w:firstLine="640" w:firstLineChars="200"/>
        <w:rPr>
          <w:rFonts w:hint="eastAsia" w:ascii="Times New Roman" w:hAnsi="Times New Roman" w:eastAsia="仿宋_GB2312" w:cs="Times New Roman"/>
          <w:color w:val="auto"/>
          <w:kern w:val="0"/>
          <w:sz w:val="32"/>
          <w:szCs w:val="28"/>
          <w:lang w:val="zh-CN" w:eastAsia="zh-CN"/>
        </w:rPr>
      </w:pPr>
      <w:r>
        <w:rPr>
          <w:rFonts w:hint="eastAsia" w:ascii="Times New Roman" w:hAnsi="Times New Roman" w:eastAsia="仿宋_GB2312" w:cs="Times New Roman"/>
          <w:color w:val="auto"/>
          <w:kern w:val="0"/>
          <w:sz w:val="32"/>
          <w:szCs w:val="28"/>
          <w:lang w:val="zh-CN" w:eastAsia="zh-CN"/>
        </w:rPr>
        <w:t>20</w:t>
      </w:r>
      <w:r>
        <w:rPr>
          <w:rFonts w:hint="eastAsia" w:ascii="Times New Roman" w:hAnsi="Times New Roman" w:eastAsia="仿宋_GB2312" w:cs="Times New Roman"/>
          <w:color w:val="auto"/>
          <w:kern w:val="0"/>
          <w:sz w:val="32"/>
          <w:szCs w:val="28"/>
          <w:lang w:val="en-US" w:eastAsia="zh-CN"/>
        </w:rPr>
        <w:t>21</w:t>
      </w:r>
      <w:r>
        <w:rPr>
          <w:rFonts w:hint="eastAsia" w:ascii="Times New Roman" w:hAnsi="Times New Roman" w:eastAsia="仿宋_GB2312" w:cs="Times New Roman"/>
          <w:color w:val="auto"/>
          <w:kern w:val="0"/>
          <w:sz w:val="32"/>
          <w:szCs w:val="28"/>
          <w:lang w:val="zh-CN" w:eastAsia="zh-CN"/>
        </w:rPr>
        <w:t>年度遂宁市河东新区紫竹路幼儿园部门整体支出绩效评价综合</w:t>
      </w:r>
      <w:r>
        <w:rPr>
          <w:rFonts w:hint="eastAsia" w:ascii="Times New Roman" w:hAnsi="Times New Roman" w:eastAsia="仿宋_GB2312" w:cs="Times New Roman"/>
          <w:color w:val="auto"/>
          <w:kern w:val="0"/>
          <w:sz w:val="32"/>
          <w:szCs w:val="28"/>
          <w:lang w:val="en-US" w:eastAsia="zh-CN"/>
        </w:rPr>
        <w:t>得分为</w:t>
      </w:r>
      <w:r>
        <w:rPr>
          <w:rFonts w:hint="eastAsia" w:ascii="Times New Roman" w:hAnsi="Times New Roman" w:eastAsia="仿宋_GB2312" w:cs="Times New Roman"/>
          <w:color w:val="auto"/>
          <w:kern w:val="0"/>
          <w:sz w:val="32"/>
          <w:szCs w:val="28"/>
          <w:highlight w:val="none"/>
          <w:lang w:val="en-US" w:eastAsia="zh-CN"/>
        </w:rPr>
        <w:t>67.4</w:t>
      </w:r>
      <w:r>
        <w:rPr>
          <w:rFonts w:hint="eastAsia" w:ascii="Times New Roman" w:hAnsi="Times New Roman" w:eastAsia="仿宋_GB2312" w:cs="Times New Roman"/>
          <w:color w:val="auto"/>
          <w:kern w:val="0"/>
          <w:sz w:val="32"/>
          <w:szCs w:val="28"/>
          <w:lang w:val="en-US" w:eastAsia="zh-CN"/>
        </w:rPr>
        <w:t>分，</w:t>
      </w:r>
      <w:r>
        <w:rPr>
          <w:rFonts w:hint="eastAsia" w:ascii="Times New Roman" w:hAnsi="Times New Roman" w:eastAsia="仿宋_GB2312" w:cs="Times New Roman"/>
          <w:color w:val="auto"/>
          <w:kern w:val="0"/>
          <w:sz w:val="32"/>
          <w:szCs w:val="28"/>
          <w:lang w:val="zh-CN" w:eastAsia="zh-CN"/>
        </w:rPr>
        <w:t>具体评分情况见附件</w:t>
      </w:r>
      <w:r>
        <w:rPr>
          <w:rFonts w:hint="eastAsia" w:ascii="Times New Roman" w:hAnsi="Times New Roman" w:eastAsia="仿宋_GB2312" w:cs="Times New Roman"/>
          <w:color w:val="auto"/>
          <w:kern w:val="0"/>
          <w:sz w:val="32"/>
          <w:szCs w:val="28"/>
          <w:lang w:val="en-US" w:eastAsia="zh-CN"/>
        </w:rPr>
        <w:t>1，</w:t>
      </w:r>
      <w:r>
        <w:rPr>
          <w:rFonts w:hint="eastAsia" w:ascii="Times New Roman" w:hAnsi="Times New Roman" w:eastAsia="仿宋_GB2312" w:cs="Times New Roman"/>
          <w:color w:val="auto"/>
          <w:kern w:val="0"/>
          <w:sz w:val="32"/>
          <w:szCs w:val="28"/>
          <w:lang w:val="zh-CN"/>
        </w:rPr>
        <w:t>指标评分得详见下表</w:t>
      </w:r>
      <w:r>
        <w:rPr>
          <w:rFonts w:hint="eastAsia" w:ascii="Times New Roman" w:hAnsi="Times New Roman" w:eastAsia="仿宋_GB2312" w:cs="Times New Roman"/>
          <w:color w:val="auto"/>
          <w:kern w:val="0"/>
          <w:sz w:val="32"/>
          <w:szCs w:val="28"/>
          <w:lang w:val="en-US" w:eastAsia="zh-CN"/>
        </w:rPr>
        <w:t>3</w:t>
      </w:r>
      <w:r>
        <w:rPr>
          <w:rFonts w:hint="eastAsia" w:ascii="Times New Roman" w:hAnsi="Times New Roman" w:eastAsia="仿宋_GB2312" w:cs="Times New Roman"/>
          <w:color w:val="auto"/>
          <w:kern w:val="0"/>
          <w:sz w:val="32"/>
          <w:szCs w:val="28"/>
          <w:lang w:val="zh-CN" w:eastAsia="zh-CN"/>
        </w:rPr>
        <w:t>。</w:t>
      </w:r>
    </w:p>
    <w:p w14:paraId="6C22C6EC">
      <w:pPr>
        <w:pStyle w:val="16"/>
        <w:pageBreakBefore w:val="0"/>
        <w:kinsoku/>
        <w:wordWrap/>
        <w:overflowPunct/>
        <w:topLinePunct w:val="0"/>
        <w:autoSpaceDE/>
        <w:autoSpaceDN/>
        <w:bidi w:val="0"/>
        <w:spacing w:line="560" w:lineRule="exact"/>
        <w:ind w:firstLine="482" w:firstLineChars="200"/>
        <w:textAlignment w:val="auto"/>
        <w:rPr>
          <w:color w:val="auto"/>
        </w:rPr>
      </w:pPr>
      <w:r>
        <w:rPr>
          <w:color w:val="auto"/>
        </w:rPr>
        <w:t>表</w:t>
      </w:r>
      <w:r>
        <w:rPr>
          <w:rFonts w:hint="eastAsia"/>
          <w:color w:val="auto"/>
          <w:lang w:val="en-US" w:eastAsia="zh-CN"/>
        </w:rPr>
        <w:t>3</w:t>
      </w:r>
      <w:r>
        <w:rPr>
          <w:rFonts w:hint="eastAsia"/>
          <w:color w:val="auto"/>
        </w:rPr>
        <w:t xml:space="preserve">  </w:t>
      </w:r>
      <w:r>
        <w:rPr>
          <w:color w:val="auto"/>
        </w:rPr>
        <w:t>20</w:t>
      </w:r>
      <w:r>
        <w:rPr>
          <w:rFonts w:hint="eastAsia"/>
          <w:color w:val="auto"/>
          <w:lang w:val="en-US" w:eastAsia="zh-CN"/>
        </w:rPr>
        <w:t>21</w:t>
      </w:r>
      <w:r>
        <w:rPr>
          <w:color w:val="auto"/>
        </w:rPr>
        <w:t>年</w:t>
      </w:r>
      <w:r>
        <w:rPr>
          <w:rFonts w:hint="eastAsia"/>
          <w:color w:val="auto"/>
          <w:lang w:val="en-US" w:eastAsia="zh-CN"/>
        </w:rPr>
        <w:t>遂宁市河东新区紫竹路幼儿园部门</w:t>
      </w:r>
      <w:r>
        <w:rPr>
          <w:color w:val="auto"/>
        </w:rPr>
        <w:t>整体支出绩效</w:t>
      </w:r>
      <w:r>
        <w:rPr>
          <w:rFonts w:hint="eastAsia"/>
          <w:color w:val="auto"/>
          <w:lang w:eastAsia="zh-CN"/>
        </w:rPr>
        <w:t>评分得</w:t>
      </w:r>
      <w:r>
        <w:rPr>
          <w:rFonts w:hint="eastAsia"/>
          <w:color w:val="auto"/>
          <w:lang w:val="en-US" w:eastAsia="zh-CN"/>
        </w:rPr>
        <w:t>分</w:t>
      </w:r>
      <w:r>
        <w:rPr>
          <w:color w:val="auto"/>
        </w:rPr>
        <w:t>情况表</w:t>
      </w:r>
    </w:p>
    <w:tbl>
      <w:tblPr>
        <w:tblStyle w:val="10"/>
        <w:tblW w:w="4997" w:type="pct"/>
        <w:tblInd w:w="0" w:type="dxa"/>
        <w:shd w:val="clear" w:color="auto" w:fill="auto"/>
        <w:tblLayout w:type="autofit"/>
        <w:tblCellMar>
          <w:top w:w="0" w:type="dxa"/>
          <w:left w:w="108" w:type="dxa"/>
          <w:bottom w:w="0" w:type="dxa"/>
          <w:right w:w="108" w:type="dxa"/>
        </w:tblCellMar>
      </w:tblPr>
      <w:tblGrid>
        <w:gridCol w:w="1940"/>
        <w:gridCol w:w="1776"/>
        <w:gridCol w:w="1925"/>
        <w:gridCol w:w="952"/>
        <w:gridCol w:w="1119"/>
        <w:gridCol w:w="1119"/>
      </w:tblGrid>
      <w:tr w14:paraId="5CB7E0CB">
        <w:tblPrEx>
          <w:shd w:val="clear" w:color="auto" w:fill="auto"/>
          <w:tblCellMar>
            <w:top w:w="0" w:type="dxa"/>
            <w:left w:w="108" w:type="dxa"/>
            <w:bottom w:w="0" w:type="dxa"/>
            <w:right w:w="108" w:type="dxa"/>
          </w:tblCellMar>
        </w:tblPrEx>
        <w:trPr>
          <w:trHeight w:val="441" w:hRule="atLeast"/>
        </w:trPr>
        <w:tc>
          <w:tcPr>
            <w:tcW w:w="56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8A599B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绩效指标</w:t>
            </w:r>
          </w:p>
        </w:tc>
        <w:tc>
          <w:tcPr>
            <w:tcW w:w="9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64DAB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指标分值</w:t>
            </w:r>
          </w:p>
        </w:tc>
        <w:tc>
          <w:tcPr>
            <w:tcW w:w="1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EE90E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得分</w:t>
            </w:r>
          </w:p>
        </w:tc>
        <w:tc>
          <w:tcPr>
            <w:tcW w:w="1119" w:type="dxa"/>
            <w:vMerge w:val="restart"/>
            <w:tcBorders>
              <w:top w:val="single" w:color="000000" w:sz="4" w:space="0"/>
              <w:left w:val="single" w:color="000000" w:sz="4" w:space="0"/>
              <w:right w:val="single" w:color="000000" w:sz="4" w:space="0"/>
            </w:tcBorders>
            <w:shd w:val="clear" w:color="auto" w:fill="auto"/>
            <w:vAlign w:val="center"/>
          </w:tcPr>
          <w:p w14:paraId="08A80EF5">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扣分</w:t>
            </w:r>
          </w:p>
        </w:tc>
      </w:tr>
      <w:tr w14:paraId="51EE982E">
        <w:tblPrEx>
          <w:tblCellMar>
            <w:top w:w="0" w:type="dxa"/>
            <w:left w:w="108" w:type="dxa"/>
            <w:bottom w:w="0" w:type="dxa"/>
            <w:right w:w="108" w:type="dxa"/>
          </w:tblCellMar>
        </w:tblPrEx>
        <w:trPr>
          <w:trHeight w:val="345" w:hRule="atLeast"/>
        </w:trPr>
        <w:tc>
          <w:tcPr>
            <w:tcW w:w="1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45EB6">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一级指标</w:t>
            </w:r>
          </w:p>
        </w:tc>
        <w:tc>
          <w:tcPr>
            <w:tcW w:w="1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5FC9B">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二级指标</w:t>
            </w:r>
          </w:p>
        </w:tc>
        <w:tc>
          <w:tcPr>
            <w:tcW w:w="1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49A0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三级指标</w:t>
            </w:r>
          </w:p>
        </w:tc>
        <w:tc>
          <w:tcPr>
            <w:tcW w:w="9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A024BA">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1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4B7EE5">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1119" w:type="dxa"/>
            <w:vMerge w:val="continue"/>
            <w:tcBorders>
              <w:left w:val="single" w:color="000000" w:sz="4" w:space="0"/>
              <w:bottom w:val="single" w:color="000000" w:sz="4" w:space="0"/>
              <w:right w:val="single" w:color="000000" w:sz="4" w:space="0"/>
            </w:tcBorders>
            <w:shd w:val="clear" w:color="auto" w:fill="auto"/>
            <w:vAlign w:val="center"/>
          </w:tcPr>
          <w:p w14:paraId="1C4B4D1D">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r>
      <w:tr w14:paraId="514F3770">
        <w:tblPrEx>
          <w:tblCellMar>
            <w:top w:w="0" w:type="dxa"/>
            <w:left w:w="108" w:type="dxa"/>
            <w:bottom w:w="0" w:type="dxa"/>
            <w:right w:w="108" w:type="dxa"/>
          </w:tblCellMar>
        </w:tblPrEx>
        <w:trPr>
          <w:trHeight w:val="507" w:hRule="atLeast"/>
        </w:trPr>
        <w:tc>
          <w:tcPr>
            <w:tcW w:w="19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0F2056">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部门预算管理</w:t>
            </w:r>
          </w:p>
        </w:tc>
        <w:tc>
          <w:tcPr>
            <w:tcW w:w="1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F8121">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预算编制</w:t>
            </w:r>
          </w:p>
        </w:tc>
        <w:tc>
          <w:tcPr>
            <w:tcW w:w="1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9E54B">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目标制定</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9120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56B7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D0AE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3AEDBDA0">
        <w:tblPrEx>
          <w:tblCellMar>
            <w:top w:w="0" w:type="dxa"/>
            <w:left w:w="108" w:type="dxa"/>
            <w:bottom w:w="0" w:type="dxa"/>
            <w:right w:w="108" w:type="dxa"/>
          </w:tblCellMar>
        </w:tblPrEx>
        <w:trPr>
          <w:trHeight w:val="458" w:hRule="atLeast"/>
        </w:trPr>
        <w:tc>
          <w:tcPr>
            <w:tcW w:w="1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A1E29A">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BA48A">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CE738">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目标实现</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DE4B6">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39F3A">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A4DC4">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57ED1128">
        <w:tblPrEx>
          <w:tblCellMar>
            <w:top w:w="0" w:type="dxa"/>
            <w:left w:w="108" w:type="dxa"/>
            <w:bottom w:w="0" w:type="dxa"/>
            <w:right w:w="108" w:type="dxa"/>
          </w:tblCellMar>
        </w:tblPrEx>
        <w:trPr>
          <w:trHeight w:val="466" w:hRule="atLeast"/>
        </w:trPr>
        <w:tc>
          <w:tcPr>
            <w:tcW w:w="1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C6DED8">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686F4">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A54F4">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编制准确</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8B33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26E25">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B7DC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14:paraId="726DBFB4">
        <w:tblPrEx>
          <w:tblCellMar>
            <w:top w:w="0" w:type="dxa"/>
            <w:left w:w="108" w:type="dxa"/>
            <w:bottom w:w="0" w:type="dxa"/>
            <w:right w:w="108" w:type="dxa"/>
          </w:tblCellMar>
        </w:tblPrEx>
        <w:trPr>
          <w:trHeight w:val="394" w:hRule="atLeast"/>
        </w:trPr>
        <w:tc>
          <w:tcPr>
            <w:tcW w:w="1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AE4AE3">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9268B">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预算执行</w:t>
            </w:r>
          </w:p>
        </w:tc>
        <w:tc>
          <w:tcPr>
            <w:tcW w:w="1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B43C4">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支出控制</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904AB">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09A4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3A7F8">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14:paraId="63F2A97D">
        <w:tblPrEx>
          <w:tblCellMar>
            <w:top w:w="0" w:type="dxa"/>
            <w:left w:w="108" w:type="dxa"/>
            <w:bottom w:w="0" w:type="dxa"/>
            <w:right w:w="108" w:type="dxa"/>
          </w:tblCellMar>
        </w:tblPrEx>
        <w:trPr>
          <w:trHeight w:val="462" w:hRule="atLeast"/>
        </w:trPr>
        <w:tc>
          <w:tcPr>
            <w:tcW w:w="1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61C6E7">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CF599">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15960">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动态调整</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D7F6E">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2E04E">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CC4DA">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396529C8">
        <w:tblPrEx>
          <w:tblCellMar>
            <w:top w:w="0" w:type="dxa"/>
            <w:left w:w="108" w:type="dxa"/>
            <w:bottom w:w="0" w:type="dxa"/>
            <w:right w:w="108" w:type="dxa"/>
          </w:tblCellMar>
        </w:tblPrEx>
        <w:trPr>
          <w:trHeight w:val="445" w:hRule="atLeast"/>
        </w:trPr>
        <w:tc>
          <w:tcPr>
            <w:tcW w:w="1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3DD90D">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776" w:type="dxa"/>
            <w:tcBorders>
              <w:top w:val="single" w:color="000000" w:sz="4" w:space="0"/>
              <w:left w:val="single" w:color="000000" w:sz="4" w:space="0"/>
              <w:bottom w:val="single" w:color="auto" w:sz="4" w:space="0"/>
              <w:right w:val="single" w:color="000000" w:sz="4" w:space="0"/>
            </w:tcBorders>
            <w:shd w:val="clear" w:color="auto" w:fill="auto"/>
            <w:vAlign w:val="center"/>
          </w:tcPr>
          <w:p w14:paraId="70DBBB11">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925" w:type="dxa"/>
            <w:tcBorders>
              <w:top w:val="single" w:color="000000" w:sz="4" w:space="0"/>
              <w:left w:val="single" w:color="000000" w:sz="4" w:space="0"/>
              <w:bottom w:val="single" w:color="auto" w:sz="4" w:space="0"/>
              <w:right w:val="single" w:color="000000" w:sz="4" w:space="0"/>
            </w:tcBorders>
            <w:shd w:val="clear" w:color="auto" w:fill="auto"/>
            <w:vAlign w:val="center"/>
          </w:tcPr>
          <w:p w14:paraId="412AC0F2">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执行进度</w:t>
            </w:r>
          </w:p>
        </w:tc>
        <w:tc>
          <w:tcPr>
            <w:tcW w:w="952" w:type="dxa"/>
            <w:tcBorders>
              <w:top w:val="single" w:color="000000" w:sz="4" w:space="0"/>
              <w:left w:val="single" w:color="000000" w:sz="4" w:space="0"/>
              <w:bottom w:val="single" w:color="auto" w:sz="4" w:space="0"/>
              <w:right w:val="single" w:color="000000" w:sz="4" w:space="0"/>
            </w:tcBorders>
            <w:shd w:val="clear" w:color="auto" w:fill="auto"/>
            <w:vAlign w:val="center"/>
          </w:tcPr>
          <w:p w14:paraId="3E84BA68">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19" w:type="dxa"/>
            <w:tcBorders>
              <w:top w:val="single" w:color="000000" w:sz="4" w:space="0"/>
              <w:left w:val="single" w:color="000000" w:sz="4" w:space="0"/>
              <w:bottom w:val="single" w:color="auto" w:sz="4" w:space="0"/>
              <w:right w:val="single" w:color="000000" w:sz="4" w:space="0"/>
            </w:tcBorders>
            <w:shd w:val="clear" w:color="auto" w:fill="auto"/>
            <w:vAlign w:val="center"/>
          </w:tcPr>
          <w:p w14:paraId="7FE7FB1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9.38</w:t>
            </w:r>
          </w:p>
        </w:tc>
        <w:tc>
          <w:tcPr>
            <w:tcW w:w="1119" w:type="dxa"/>
            <w:tcBorders>
              <w:top w:val="single" w:color="000000" w:sz="4" w:space="0"/>
              <w:left w:val="single" w:color="000000" w:sz="4" w:space="0"/>
              <w:bottom w:val="single" w:color="auto" w:sz="4" w:space="0"/>
              <w:right w:val="single" w:color="000000" w:sz="4" w:space="0"/>
            </w:tcBorders>
            <w:shd w:val="clear" w:color="auto" w:fill="auto"/>
            <w:vAlign w:val="center"/>
          </w:tcPr>
          <w:p w14:paraId="01AEE138">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0.62</w:t>
            </w:r>
          </w:p>
        </w:tc>
      </w:tr>
      <w:tr w14:paraId="4924AA33">
        <w:tblPrEx>
          <w:tblCellMar>
            <w:top w:w="0" w:type="dxa"/>
            <w:left w:w="108" w:type="dxa"/>
            <w:bottom w:w="0" w:type="dxa"/>
            <w:right w:w="108" w:type="dxa"/>
          </w:tblCellMar>
        </w:tblPrEx>
        <w:trPr>
          <w:trHeight w:val="463" w:hRule="atLeast"/>
        </w:trPr>
        <w:tc>
          <w:tcPr>
            <w:tcW w:w="1940"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148516BF">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776" w:type="dxa"/>
            <w:tcBorders>
              <w:top w:val="single" w:color="auto" w:sz="4" w:space="0"/>
              <w:left w:val="single" w:color="auto" w:sz="4" w:space="0"/>
              <w:bottom w:val="single" w:color="auto" w:sz="4" w:space="0"/>
              <w:right w:val="single" w:color="auto" w:sz="4" w:space="0"/>
            </w:tcBorders>
            <w:shd w:val="clear" w:color="auto" w:fill="auto"/>
            <w:vAlign w:val="center"/>
          </w:tcPr>
          <w:p w14:paraId="04CA2F2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完成结果</w:t>
            </w:r>
          </w:p>
        </w:tc>
        <w:tc>
          <w:tcPr>
            <w:tcW w:w="1925" w:type="dxa"/>
            <w:tcBorders>
              <w:top w:val="single" w:color="auto" w:sz="4" w:space="0"/>
              <w:left w:val="single" w:color="auto" w:sz="4" w:space="0"/>
              <w:bottom w:val="single" w:color="auto" w:sz="4" w:space="0"/>
              <w:right w:val="single" w:color="auto" w:sz="4" w:space="0"/>
            </w:tcBorders>
            <w:shd w:val="clear" w:color="auto" w:fill="auto"/>
            <w:vAlign w:val="center"/>
          </w:tcPr>
          <w:p w14:paraId="08E9F621">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预算完成</w:t>
            </w:r>
          </w:p>
        </w:tc>
        <w:tc>
          <w:tcPr>
            <w:tcW w:w="952" w:type="dxa"/>
            <w:tcBorders>
              <w:top w:val="single" w:color="auto" w:sz="4" w:space="0"/>
              <w:left w:val="single" w:color="auto" w:sz="4" w:space="0"/>
              <w:bottom w:val="single" w:color="auto" w:sz="4" w:space="0"/>
              <w:right w:val="single" w:color="auto" w:sz="4" w:space="0"/>
            </w:tcBorders>
            <w:shd w:val="clear" w:color="auto" w:fill="auto"/>
            <w:vAlign w:val="center"/>
          </w:tcPr>
          <w:p w14:paraId="09FB048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48961CFB">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8.02</w:t>
            </w: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0F3B1D67">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1.98</w:t>
            </w:r>
          </w:p>
        </w:tc>
      </w:tr>
      <w:tr w14:paraId="6357E122">
        <w:tblPrEx>
          <w:tblCellMar>
            <w:top w:w="0" w:type="dxa"/>
            <w:left w:w="108" w:type="dxa"/>
            <w:bottom w:w="0" w:type="dxa"/>
            <w:right w:w="108" w:type="dxa"/>
          </w:tblCellMar>
        </w:tblPrEx>
        <w:trPr>
          <w:trHeight w:val="453" w:hRule="atLeast"/>
        </w:trPr>
        <w:tc>
          <w:tcPr>
            <w:tcW w:w="1940"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0E03A612">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776" w:type="dxa"/>
            <w:tcBorders>
              <w:top w:val="single" w:color="auto" w:sz="4" w:space="0"/>
              <w:left w:val="single" w:color="auto" w:sz="4" w:space="0"/>
              <w:bottom w:val="single" w:color="auto" w:sz="4" w:space="0"/>
              <w:right w:val="single" w:color="auto" w:sz="4" w:space="0"/>
            </w:tcBorders>
            <w:shd w:val="clear" w:color="auto" w:fill="auto"/>
            <w:vAlign w:val="center"/>
          </w:tcPr>
          <w:p w14:paraId="34D8E293">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925" w:type="dxa"/>
            <w:tcBorders>
              <w:top w:val="single" w:color="auto" w:sz="4" w:space="0"/>
              <w:left w:val="single" w:color="auto" w:sz="4" w:space="0"/>
              <w:bottom w:val="single" w:color="auto" w:sz="4" w:space="0"/>
              <w:right w:val="single" w:color="auto" w:sz="4" w:space="0"/>
            </w:tcBorders>
            <w:shd w:val="clear" w:color="auto" w:fill="auto"/>
            <w:vAlign w:val="center"/>
          </w:tcPr>
          <w:p w14:paraId="184A40DA">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违规记录</w:t>
            </w:r>
          </w:p>
        </w:tc>
        <w:tc>
          <w:tcPr>
            <w:tcW w:w="952" w:type="dxa"/>
            <w:tcBorders>
              <w:top w:val="single" w:color="auto" w:sz="4" w:space="0"/>
              <w:left w:val="single" w:color="auto" w:sz="4" w:space="0"/>
              <w:bottom w:val="single" w:color="auto" w:sz="4" w:space="0"/>
              <w:right w:val="single" w:color="auto" w:sz="4" w:space="0"/>
            </w:tcBorders>
            <w:shd w:val="clear" w:color="auto" w:fill="auto"/>
            <w:vAlign w:val="center"/>
          </w:tcPr>
          <w:p w14:paraId="295942A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53C04498">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3628D861">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2B4353D4">
        <w:tblPrEx>
          <w:tblCellMar>
            <w:top w:w="0" w:type="dxa"/>
            <w:left w:w="108" w:type="dxa"/>
            <w:bottom w:w="0" w:type="dxa"/>
            <w:right w:w="108" w:type="dxa"/>
          </w:tblCellMar>
        </w:tblPrEx>
        <w:trPr>
          <w:trHeight w:val="444" w:hRule="atLeast"/>
        </w:trPr>
        <w:tc>
          <w:tcPr>
            <w:tcW w:w="1940" w:type="dxa"/>
            <w:vMerge w:val="restart"/>
            <w:tcBorders>
              <w:top w:val="single" w:color="000000" w:sz="4" w:space="0"/>
              <w:left w:val="single" w:color="000000" w:sz="4" w:space="0"/>
              <w:bottom w:val="single" w:color="000000" w:sz="4" w:space="0"/>
              <w:right w:val="single" w:color="auto" w:sz="4" w:space="0"/>
            </w:tcBorders>
            <w:shd w:val="clear" w:color="auto" w:fill="auto"/>
            <w:vAlign w:val="center"/>
          </w:tcPr>
          <w:p w14:paraId="2498F2C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绩效结果应用</w:t>
            </w:r>
          </w:p>
        </w:tc>
        <w:tc>
          <w:tcPr>
            <w:tcW w:w="1776" w:type="dxa"/>
            <w:tcBorders>
              <w:top w:val="single" w:color="auto" w:sz="4" w:space="0"/>
              <w:left w:val="single" w:color="auto" w:sz="4" w:space="0"/>
              <w:bottom w:val="single" w:color="auto" w:sz="4" w:space="0"/>
              <w:right w:val="single" w:color="auto" w:sz="4" w:space="0"/>
            </w:tcBorders>
            <w:shd w:val="clear" w:color="auto" w:fill="auto"/>
            <w:vAlign w:val="center"/>
          </w:tcPr>
          <w:p w14:paraId="15689475">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信息公开</w:t>
            </w:r>
          </w:p>
        </w:tc>
        <w:tc>
          <w:tcPr>
            <w:tcW w:w="1925" w:type="dxa"/>
            <w:tcBorders>
              <w:top w:val="single" w:color="auto" w:sz="4" w:space="0"/>
              <w:left w:val="single" w:color="auto" w:sz="4" w:space="0"/>
              <w:bottom w:val="single" w:color="auto" w:sz="4" w:space="0"/>
              <w:right w:val="single" w:color="auto" w:sz="4" w:space="0"/>
            </w:tcBorders>
            <w:shd w:val="clear" w:color="auto" w:fill="auto"/>
            <w:vAlign w:val="center"/>
          </w:tcPr>
          <w:p w14:paraId="74EC58C1">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自评公开</w:t>
            </w:r>
          </w:p>
        </w:tc>
        <w:tc>
          <w:tcPr>
            <w:tcW w:w="952" w:type="dxa"/>
            <w:tcBorders>
              <w:top w:val="single" w:color="auto" w:sz="4" w:space="0"/>
              <w:left w:val="single" w:color="auto" w:sz="4" w:space="0"/>
              <w:bottom w:val="single" w:color="auto" w:sz="4" w:space="0"/>
              <w:right w:val="single" w:color="auto" w:sz="4" w:space="0"/>
            </w:tcBorders>
            <w:shd w:val="clear" w:color="auto" w:fill="auto"/>
            <w:vAlign w:val="center"/>
          </w:tcPr>
          <w:p w14:paraId="33EF613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5952B230">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7F86D26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2B0527E6">
        <w:tblPrEx>
          <w:tblCellMar>
            <w:top w:w="0" w:type="dxa"/>
            <w:left w:w="108" w:type="dxa"/>
            <w:bottom w:w="0" w:type="dxa"/>
            <w:right w:w="108" w:type="dxa"/>
          </w:tblCellMar>
        </w:tblPrEx>
        <w:trPr>
          <w:trHeight w:val="451" w:hRule="atLeast"/>
        </w:trPr>
        <w:tc>
          <w:tcPr>
            <w:tcW w:w="1940"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5171D753">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776" w:type="dxa"/>
            <w:tcBorders>
              <w:top w:val="single" w:color="auto" w:sz="4" w:space="0"/>
              <w:left w:val="single" w:color="auto" w:sz="4" w:space="0"/>
              <w:bottom w:val="single" w:color="auto" w:sz="4" w:space="0"/>
              <w:right w:val="single" w:color="auto" w:sz="4" w:space="0"/>
            </w:tcBorders>
            <w:shd w:val="clear" w:color="auto" w:fill="auto"/>
            <w:vAlign w:val="center"/>
          </w:tcPr>
          <w:p w14:paraId="2A9B6C56">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整改反馈</w:t>
            </w:r>
          </w:p>
        </w:tc>
        <w:tc>
          <w:tcPr>
            <w:tcW w:w="1925" w:type="dxa"/>
            <w:tcBorders>
              <w:top w:val="single" w:color="auto" w:sz="4" w:space="0"/>
              <w:left w:val="single" w:color="auto" w:sz="4" w:space="0"/>
              <w:bottom w:val="single" w:color="auto" w:sz="4" w:space="0"/>
              <w:right w:val="single" w:color="auto" w:sz="4" w:space="0"/>
            </w:tcBorders>
            <w:shd w:val="clear" w:color="auto" w:fill="auto"/>
            <w:vAlign w:val="center"/>
          </w:tcPr>
          <w:p w14:paraId="4B93EB70">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结果整改</w:t>
            </w:r>
          </w:p>
        </w:tc>
        <w:tc>
          <w:tcPr>
            <w:tcW w:w="952" w:type="dxa"/>
            <w:tcBorders>
              <w:top w:val="single" w:color="auto" w:sz="4" w:space="0"/>
              <w:left w:val="single" w:color="auto" w:sz="4" w:space="0"/>
              <w:bottom w:val="single" w:color="auto" w:sz="4" w:space="0"/>
              <w:right w:val="single" w:color="auto" w:sz="4" w:space="0"/>
            </w:tcBorders>
            <w:shd w:val="clear" w:color="auto" w:fill="auto"/>
            <w:vAlign w:val="center"/>
          </w:tcPr>
          <w:p w14:paraId="6CD41CE4">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0355E314">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1267AD78">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62E046DD">
        <w:tblPrEx>
          <w:tblCellMar>
            <w:top w:w="0" w:type="dxa"/>
            <w:left w:w="108" w:type="dxa"/>
            <w:bottom w:w="0" w:type="dxa"/>
            <w:right w:w="108" w:type="dxa"/>
          </w:tblCellMar>
        </w:tblPrEx>
        <w:trPr>
          <w:trHeight w:val="414" w:hRule="atLeast"/>
        </w:trPr>
        <w:tc>
          <w:tcPr>
            <w:tcW w:w="1940"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67DADCAA">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776" w:type="dxa"/>
            <w:tcBorders>
              <w:top w:val="single" w:color="auto" w:sz="4" w:space="0"/>
              <w:left w:val="single" w:color="auto" w:sz="4" w:space="0"/>
              <w:bottom w:val="single" w:color="auto" w:sz="4" w:space="0"/>
              <w:right w:val="single" w:color="auto" w:sz="4" w:space="0"/>
            </w:tcBorders>
            <w:shd w:val="clear" w:color="auto" w:fill="auto"/>
            <w:vAlign w:val="center"/>
          </w:tcPr>
          <w:p w14:paraId="5DFDB628">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925" w:type="dxa"/>
            <w:tcBorders>
              <w:top w:val="single" w:color="auto" w:sz="4" w:space="0"/>
              <w:left w:val="single" w:color="auto" w:sz="4" w:space="0"/>
              <w:bottom w:val="single" w:color="auto" w:sz="4" w:space="0"/>
              <w:right w:val="single" w:color="auto" w:sz="4" w:space="0"/>
            </w:tcBorders>
            <w:shd w:val="clear" w:color="auto" w:fill="auto"/>
            <w:vAlign w:val="center"/>
          </w:tcPr>
          <w:p w14:paraId="2921D0CB">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应用反馈</w:t>
            </w:r>
          </w:p>
        </w:tc>
        <w:tc>
          <w:tcPr>
            <w:tcW w:w="952" w:type="dxa"/>
            <w:tcBorders>
              <w:top w:val="single" w:color="auto" w:sz="4" w:space="0"/>
              <w:left w:val="single" w:color="auto" w:sz="4" w:space="0"/>
              <w:bottom w:val="single" w:color="auto" w:sz="4" w:space="0"/>
              <w:right w:val="single" w:color="auto" w:sz="4" w:space="0"/>
            </w:tcBorders>
            <w:shd w:val="clear" w:color="auto" w:fill="auto"/>
            <w:vAlign w:val="center"/>
          </w:tcPr>
          <w:p w14:paraId="136C5D1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5774CC90">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42BE7BC6">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3C05A596">
        <w:tblPrEx>
          <w:tblCellMar>
            <w:top w:w="0" w:type="dxa"/>
            <w:left w:w="108" w:type="dxa"/>
            <w:bottom w:w="0" w:type="dxa"/>
            <w:right w:w="108" w:type="dxa"/>
          </w:tblCellMar>
        </w:tblPrEx>
        <w:trPr>
          <w:trHeight w:val="510" w:hRule="atLeast"/>
        </w:trPr>
        <w:tc>
          <w:tcPr>
            <w:tcW w:w="1940" w:type="dxa"/>
            <w:tcBorders>
              <w:top w:val="single" w:color="000000" w:sz="4" w:space="0"/>
              <w:left w:val="single" w:color="000000" w:sz="4" w:space="0"/>
              <w:bottom w:val="single" w:color="000000" w:sz="4" w:space="0"/>
              <w:right w:val="single" w:color="auto" w:sz="4" w:space="0"/>
            </w:tcBorders>
            <w:shd w:val="clear" w:color="auto" w:fill="auto"/>
            <w:vAlign w:val="center"/>
          </w:tcPr>
          <w:p w14:paraId="2EA7F298">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自评质量</w:t>
            </w:r>
          </w:p>
        </w:tc>
        <w:tc>
          <w:tcPr>
            <w:tcW w:w="1776" w:type="dxa"/>
            <w:tcBorders>
              <w:top w:val="single" w:color="auto" w:sz="4" w:space="0"/>
              <w:left w:val="single" w:color="auto" w:sz="4" w:space="0"/>
              <w:bottom w:val="single" w:color="auto" w:sz="4" w:space="0"/>
              <w:right w:val="single" w:color="auto" w:sz="4" w:space="0"/>
            </w:tcBorders>
            <w:shd w:val="clear" w:color="auto" w:fill="auto"/>
            <w:vAlign w:val="center"/>
          </w:tcPr>
          <w:p w14:paraId="5AD15832">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自评质量</w:t>
            </w:r>
          </w:p>
        </w:tc>
        <w:tc>
          <w:tcPr>
            <w:tcW w:w="1925" w:type="dxa"/>
            <w:tcBorders>
              <w:top w:val="single" w:color="auto" w:sz="4" w:space="0"/>
              <w:left w:val="single" w:color="auto" w:sz="4" w:space="0"/>
              <w:bottom w:val="single" w:color="auto" w:sz="4" w:space="0"/>
              <w:right w:val="single" w:color="auto" w:sz="4" w:space="0"/>
            </w:tcBorders>
            <w:shd w:val="clear" w:color="auto" w:fill="auto"/>
            <w:vAlign w:val="center"/>
          </w:tcPr>
          <w:p w14:paraId="1133D08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自评准确</w:t>
            </w:r>
          </w:p>
        </w:tc>
        <w:tc>
          <w:tcPr>
            <w:tcW w:w="952" w:type="dxa"/>
            <w:tcBorders>
              <w:top w:val="single" w:color="auto" w:sz="4" w:space="0"/>
              <w:left w:val="single" w:color="auto" w:sz="4" w:space="0"/>
              <w:bottom w:val="single" w:color="auto" w:sz="4" w:space="0"/>
              <w:right w:val="single" w:color="auto" w:sz="4" w:space="0"/>
            </w:tcBorders>
            <w:shd w:val="clear" w:color="auto" w:fill="auto"/>
            <w:vAlign w:val="center"/>
          </w:tcPr>
          <w:p w14:paraId="6342F5D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26D1C056">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11D573A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06B1EE8E">
        <w:tblPrEx>
          <w:tblCellMar>
            <w:top w:w="0" w:type="dxa"/>
            <w:left w:w="108" w:type="dxa"/>
            <w:bottom w:w="0" w:type="dxa"/>
            <w:right w:w="108" w:type="dxa"/>
          </w:tblCellMar>
        </w:tblPrEx>
        <w:trPr>
          <w:trHeight w:val="510" w:hRule="atLeast"/>
        </w:trPr>
        <w:tc>
          <w:tcPr>
            <w:tcW w:w="564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6A169FA">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合计</w:t>
            </w:r>
          </w:p>
        </w:tc>
        <w:tc>
          <w:tcPr>
            <w:tcW w:w="952" w:type="dxa"/>
            <w:tcBorders>
              <w:top w:val="single" w:color="auto" w:sz="4" w:space="0"/>
              <w:left w:val="single" w:color="auto" w:sz="4" w:space="0"/>
              <w:bottom w:val="single" w:color="auto" w:sz="4" w:space="0"/>
              <w:right w:val="single" w:color="auto" w:sz="4" w:space="0"/>
            </w:tcBorders>
            <w:shd w:val="clear" w:color="auto" w:fill="auto"/>
            <w:vAlign w:val="center"/>
          </w:tcPr>
          <w:p w14:paraId="2FABFE0B">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100</w:t>
            </w: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659A224E">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77.4</w:t>
            </w: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084EADC4">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22.6</w:t>
            </w:r>
          </w:p>
        </w:tc>
      </w:tr>
    </w:tbl>
    <w:p w14:paraId="09D3C8F2">
      <w:pPr>
        <w:pStyle w:val="5"/>
        <w:pageBreakBefore w:val="0"/>
        <w:numPr>
          <w:ilvl w:val="1"/>
          <w:numId w:val="0"/>
        </w:numPr>
        <w:kinsoku/>
        <w:wordWrap/>
        <w:overflowPunct/>
        <w:topLinePunct w:val="0"/>
        <w:autoSpaceDE/>
        <w:autoSpaceDN/>
        <w:bidi w:val="0"/>
        <w:spacing w:line="560" w:lineRule="exact"/>
        <w:ind w:leftChars="0" w:firstLine="643" w:firstLineChars="200"/>
        <w:rPr>
          <w:rFonts w:hint="eastAsia"/>
          <w:b/>
          <w:bCs/>
          <w:color w:val="auto"/>
          <w:szCs w:val="32"/>
          <w:highlight w:val="yellow"/>
          <w:lang w:val="en-US" w:eastAsia="zh-CN"/>
        </w:rPr>
      </w:pPr>
      <w:bookmarkStart w:id="550" w:name="_Toc6302"/>
      <w:bookmarkStart w:id="551" w:name="_Toc25443"/>
      <w:r>
        <w:rPr>
          <w:rFonts w:hint="eastAsia"/>
          <w:b/>
          <w:bCs/>
          <w:color w:val="auto"/>
          <w:szCs w:val="32"/>
          <w:highlight w:val="none"/>
          <w:lang w:val="en-US" w:eastAsia="zh-CN"/>
        </w:rPr>
        <w:t>（二）基本运行绩效分析</w:t>
      </w:r>
      <w:bookmarkEnd w:id="550"/>
      <w:bookmarkEnd w:id="551"/>
    </w:p>
    <w:p w14:paraId="3172B842">
      <w:pPr>
        <w:pStyle w:val="4"/>
        <w:pageBreakBefore w:val="0"/>
        <w:widowControl w:val="0"/>
        <w:numPr>
          <w:ilvl w:val="-1"/>
          <w:numId w:val="0"/>
        </w:numPr>
        <w:kinsoku/>
        <w:wordWrap/>
        <w:overflowPunct/>
        <w:topLinePunct w:val="0"/>
        <w:autoSpaceDE/>
        <w:autoSpaceDN/>
        <w:bidi w:val="0"/>
        <w:spacing w:line="560" w:lineRule="exact"/>
        <w:ind w:left="0" w:leftChars="0" w:firstLine="643" w:firstLineChars="200"/>
        <w:textAlignment w:val="auto"/>
        <w:outlineLvl w:val="2"/>
        <w:rPr>
          <w:rFonts w:hint="eastAsia"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1.部门预算编制</w:t>
      </w:r>
    </w:p>
    <w:p w14:paraId="6B2A387A">
      <w:pPr>
        <w:pStyle w:val="4"/>
        <w:pageBreakBefore w:val="0"/>
        <w:widowControl w:val="0"/>
        <w:numPr>
          <w:ilvl w:val="-1"/>
          <w:numId w:val="0"/>
        </w:numPr>
        <w:kinsoku/>
        <w:wordWrap/>
        <w:overflowPunct/>
        <w:topLinePunct w:val="0"/>
        <w:autoSpaceDE/>
        <w:autoSpaceDN/>
        <w:bidi w:val="0"/>
        <w:spacing w:line="560" w:lineRule="exact"/>
        <w:ind w:left="0" w:leftChars="0" w:firstLine="643" w:firstLineChars="200"/>
        <w:textAlignment w:val="auto"/>
        <w:outlineLvl w:val="2"/>
        <w:rPr>
          <w:rFonts w:hint="default"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（1）预算编制</w:t>
      </w:r>
    </w:p>
    <w:p w14:paraId="44B86E24">
      <w:pPr>
        <w:pStyle w:val="4"/>
        <w:pageBreakBefore w:val="0"/>
        <w:widowControl w:val="0"/>
        <w:numPr>
          <w:ilvl w:val="0"/>
          <w:numId w:val="0"/>
        </w:numPr>
        <w:kinsoku/>
        <w:wordWrap/>
        <w:overflowPunct/>
        <w:topLinePunct w:val="0"/>
        <w:autoSpaceDE/>
        <w:autoSpaceDN/>
        <w:bidi w:val="0"/>
        <w:spacing w:line="560" w:lineRule="exact"/>
        <w:ind w:firstLine="643" w:firstLineChars="200"/>
        <w:textAlignment w:val="auto"/>
        <w:outlineLvl w:val="9"/>
        <w:rPr>
          <w:rFonts w:hint="default"/>
          <w:color w:val="auto"/>
          <w:lang w:val="en-US" w:eastAsia="zh-CN"/>
        </w:rPr>
      </w:pPr>
      <w:r>
        <w:rPr>
          <w:rFonts w:hint="eastAsia"/>
          <w:b/>
          <w:bCs/>
          <w:color w:val="auto"/>
          <w:szCs w:val="32"/>
          <w:lang w:val="en-US" w:eastAsia="zh-CN"/>
        </w:rPr>
        <w:t>①目标制定</w:t>
      </w:r>
    </w:p>
    <w:p w14:paraId="0F3FB8A9">
      <w:pPr>
        <w:pStyle w:val="4"/>
        <w:pageBreakBefore w:val="0"/>
        <w:wordWrap/>
        <w:overflowPunct/>
        <w:topLinePunct w:val="0"/>
        <w:bidi w:val="0"/>
        <w:spacing w:line="560" w:lineRule="exact"/>
        <w:rPr>
          <w:rFonts w:hint="eastAsia"/>
          <w:color w:val="000000" w:themeColor="text1"/>
          <w:highlight w:val="none"/>
          <w:lang w:val="en-US"/>
          <w14:textFill>
            <w14:solidFill>
              <w14:schemeClr w14:val="tx1"/>
            </w14:solidFill>
          </w14:textFill>
        </w:rPr>
      </w:pPr>
      <w:r>
        <w:rPr>
          <w:rFonts w:hint="eastAsia"/>
          <w:highlight w:val="none"/>
          <w:lang w:val="en-US" w:eastAsia="zh-CN"/>
        </w:rPr>
        <w:t>紫竹路幼儿园</w:t>
      </w:r>
      <w:r>
        <w:rPr>
          <w:rFonts w:hint="eastAsia"/>
          <w:highlight w:val="none"/>
        </w:rPr>
        <w:t>整体绩效目标年度主要任务</w:t>
      </w:r>
      <w:r>
        <w:rPr>
          <w:rFonts w:hint="eastAsia"/>
          <w:highlight w:val="none"/>
          <w:lang w:val="en-US" w:eastAsia="zh-CN"/>
        </w:rPr>
        <w:t>为</w:t>
      </w:r>
      <w:r>
        <w:rPr>
          <w:rFonts w:hint="eastAsia"/>
          <w:highlight w:val="none"/>
        </w:rPr>
        <w:t>保障幼儿园基本运行</w:t>
      </w:r>
      <w:r>
        <w:rPr>
          <w:rFonts w:hint="eastAsia"/>
          <w:highlight w:val="none"/>
          <w:lang w:eastAsia="zh-CN"/>
        </w:rPr>
        <w:t>，</w:t>
      </w:r>
      <w:r>
        <w:rPr>
          <w:rFonts w:hint="eastAsia"/>
          <w:highlight w:val="none"/>
          <w:lang w:val="en-US" w:eastAsia="zh-CN"/>
        </w:rPr>
        <w:t>整体</w:t>
      </w:r>
      <w:r>
        <w:rPr>
          <w:rFonts w:hint="eastAsia"/>
          <w:color w:val="000000" w:themeColor="text1"/>
          <w:highlight w:val="none"/>
          <w:lang w:val="en-US"/>
          <w14:textFill>
            <w14:solidFill>
              <w14:schemeClr w14:val="tx1"/>
            </w14:solidFill>
          </w14:textFill>
        </w:rPr>
        <w:t>绩效目标编制含数量、质量、成本、时效、效益、满意度等指标，要素完整，指标设置符合规范要求</w:t>
      </w:r>
      <w:r>
        <w:rPr>
          <w:rFonts w:hint="eastAsia"/>
          <w:color w:val="000000" w:themeColor="text1"/>
          <w:highlight w:val="none"/>
          <w:lang w:val="en-US" w:eastAsia="zh-CN"/>
          <w14:textFill>
            <w14:solidFill>
              <w14:schemeClr w14:val="tx1"/>
            </w14:solidFill>
          </w14:textFill>
        </w:rPr>
        <w:t>，数量</w:t>
      </w:r>
      <w:r>
        <w:rPr>
          <w:rFonts w:hint="eastAsia"/>
          <w:color w:val="000000" w:themeColor="text1"/>
          <w:highlight w:val="none"/>
          <w:lang w:val="en-US"/>
          <w14:textFill>
            <w14:solidFill>
              <w14:schemeClr w14:val="tx1"/>
            </w14:solidFill>
          </w14:textFill>
        </w:rPr>
        <w:t>指标达</w:t>
      </w:r>
      <w:r>
        <w:rPr>
          <w:rFonts w:hint="eastAsia"/>
          <w:color w:val="000000" w:themeColor="text1"/>
          <w:highlight w:val="none"/>
          <w:lang w:val="en-US" w:eastAsia="zh-CN"/>
          <w14:textFill>
            <w14:solidFill>
              <w14:schemeClr w14:val="tx1"/>
            </w14:solidFill>
          </w14:textFill>
        </w:rPr>
        <w:t>到</w:t>
      </w:r>
      <w:r>
        <w:rPr>
          <w:rFonts w:hint="eastAsia"/>
          <w:color w:val="000000" w:themeColor="text1"/>
          <w:highlight w:val="none"/>
          <w:lang w:val="en-US"/>
          <w14:textFill>
            <w14:solidFill>
              <w14:schemeClr w14:val="tx1"/>
            </w14:solidFill>
          </w14:textFill>
        </w:rPr>
        <w:t>量化标准。</w:t>
      </w:r>
    </w:p>
    <w:p w14:paraId="06D03035">
      <w:pPr>
        <w:pStyle w:val="4"/>
        <w:pageBreakBefore w:val="0"/>
        <w:wordWrap/>
        <w:overflowPunct/>
        <w:topLinePunct w:val="0"/>
        <w:bidi w:val="0"/>
        <w:spacing w:line="560" w:lineRule="exact"/>
        <w:rPr>
          <w:rFonts w:hint="eastAsia"/>
          <w:color w:val="000000" w:themeColor="text1"/>
          <w:highlight w:val="none"/>
          <w:lang w:val="en-US"/>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综合上述分析，此项指标分值10分，实际得分10分。</w:t>
      </w:r>
    </w:p>
    <w:p w14:paraId="71EF3F72">
      <w:pPr>
        <w:pStyle w:val="4"/>
        <w:pageBreakBefore w:val="0"/>
        <w:widowControl w:val="0"/>
        <w:numPr>
          <w:ilvl w:val="0"/>
          <w:numId w:val="0"/>
        </w:numPr>
        <w:kinsoku/>
        <w:wordWrap/>
        <w:overflowPunct/>
        <w:topLinePunct w:val="0"/>
        <w:autoSpaceDE/>
        <w:autoSpaceDN/>
        <w:bidi w:val="0"/>
        <w:spacing w:line="560" w:lineRule="exact"/>
        <w:ind w:firstLine="643" w:firstLineChars="200"/>
        <w:textAlignment w:val="auto"/>
        <w:outlineLvl w:val="9"/>
        <w:rPr>
          <w:rFonts w:hint="default"/>
          <w:color w:val="auto"/>
          <w:lang w:val="en-US" w:eastAsia="zh-CN"/>
        </w:rPr>
      </w:pPr>
      <w:r>
        <w:rPr>
          <w:rFonts w:hint="eastAsia"/>
          <w:b/>
          <w:bCs/>
          <w:color w:val="auto"/>
          <w:szCs w:val="32"/>
          <w:lang w:val="en-US" w:eastAsia="zh-CN"/>
        </w:rPr>
        <w:t>②目标实现</w:t>
      </w:r>
    </w:p>
    <w:p w14:paraId="06E7D54A">
      <w:pPr>
        <w:pStyle w:val="4"/>
        <w:pageBreakBefore w:val="0"/>
        <w:wordWrap/>
        <w:overflowPunct/>
        <w:topLinePunct w:val="0"/>
        <w:bidi w:val="0"/>
        <w:spacing w:line="560" w:lineRule="exact"/>
        <w:rPr>
          <w:rFonts w:hint="eastAsia"/>
          <w:color w:val="000000" w:themeColor="text1"/>
          <w:highlight w:val="none"/>
          <w:lang w:val="en-US"/>
          <w14:textFill>
            <w14:solidFill>
              <w14:schemeClr w14:val="tx1"/>
            </w14:solidFill>
          </w14:textFill>
        </w:rPr>
      </w:pPr>
      <w:r>
        <w:rPr>
          <w:rFonts w:hint="eastAsia"/>
          <w:color w:val="000000" w:themeColor="text1"/>
          <w:highlight w:val="none"/>
          <w:lang w:val="en-US"/>
          <w14:textFill>
            <w14:solidFill>
              <w14:schemeClr w14:val="tx1"/>
            </w14:solidFill>
          </w14:textFill>
        </w:rPr>
        <w:t>评价组核查了</w:t>
      </w:r>
      <w:r>
        <w:rPr>
          <w:rFonts w:hint="eastAsia"/>
          <w:color w:val="000000" w:themeColor="text1"/>
          <w:highlight w:val="none"/>
          <w:lang w:val="en-US" w:eastAsia="zh-CN"/>
          <w14:textFill>
            <w14:solidFill>
              <w14:schemeClr w14:val="tx1"/>
            </w14:solidFill>
          </w14:textFill>
        </w:rPr>
        <w:t>紫竹路幼儿园1个年度主要任务</w:t>
      </w:r>
      <w:r>
        <w:rPr>
          <w:rFonts w:hint="eastAsia"/>
          <w:color w:val="000000" w:themeColor="text1"/>
          <w:highlight w:val="none"/>
          <w:lang w:val="en-US"/>
          <w14:textFill>
            <w14:solidFill>
              <w14:schemeClr w14:val="tx1"/>
            </w14:solidFill>
          </w14:textFill>
        </w:rPr>
        <w:t>共</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lang w:val="en-US"/>
          <w14:textFill>
            <w14:solidFill>
              <w14:schemeClr w14:val="tx1"/>
            </w14:solidFill>
          </w14:textFill>
        </w:rPr>
        <w:t>个数量指标的完成情况，</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lang w:val="en-US"/>
          <w14:textFill>
            <w14:solidFill>
              <w14:schemeClr w14:val="tx1"/>
            </w14:solidFill>
          </w14:textFill>
        </w:rPr>
        <w:t>个数量指标实际完成情况</w:t>
      </w:r>
      <w:r>
        <w:rPr>
          <w:rFonts w:hint="eastAsia"/>
          <w:color w:val="000000" w:themeColor="text1"/>
          <w:highlight w:val="none"/>
          <w:lang w:val="en-US" w:eastAsia="zh-CN"/>
          <w14:textFill>
            <w14:solidFill>
              <w14:schemeClr w14:val="tx1"/>
            </w14:solidFill>
          </w14:textFill>
        </w:rPr>
        <w:t>均达到</w:t>
      </w:r>
      <w:r>
        <w:rPr>
          <w:rFonts w:hint="eastAsia"/>
          <w:color w:val="000000" w:themeColor="text1"/>
          <w:highlight w:val="none"/>
          <w:lang w:val="en-US"/>
          <w14:textFill>
            <w14:solidFill>
              <w14:schemeClr w14:val="tx1"/>
            </w14:solidFill>
          </w14:textFill>
        </w:rPr>
        <w:t>预期绩效目标。</w:t>
      </w:r>
    </w:p>
    <w:p w14:paraId="79E3DBA3">
      <w:pPr>
        <w:pStyle w:val="4"/>
        <w:pageBreakBefore w:val="0"/>
        <w:wordWrap/>
        <w:overflowPunct/>
        <w:topLinePunct w:val="0"/>
        <w:bidi w:val="0"/>
        <w:spacing w:line="560" w:lineRule="exact"/>
        <w:rPr>
          <w:rFonts w:hint="eastAsia"/>
          <w:color w:val="000000" w:themeColor="text1"/>
          <w:highlight w:val="yellow"/>
          <w:lang w:val="en-US"/>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综合上述分析，此项指标分值10分，实际得分10分。</w:t>
      </w:r>
    </w:p>
    <w:p w14:paraId="7E1FA3BF">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b/>
          <w:bCs/>
          <w:color w:val="auto"/>
          <w:szCs w:val="32"/>
          <w:lang w:val="en-US" w:eastAsia="zh-CN"/>
        </w:rPr>
      </w:pPr>
      <w:r>
        <w:rPr>
          <w:rFonts w:hint="eastAsia"/>
          <w:b/>
          <w:bCs/>
          <w:color w:val="auto"/>
          <w:szCs w:val="32"/>
          <w:lang w:val="en-US" w:eastAsia="zh-CN"/>
        </w:rPr>
        <w:t>③编制准确</w:t>
      </w:r>
    </w:p>
    <w:p w14:paraId="7688241A">
      <w:pPr>
        <w:pStyle w:val="4"/>
        <w:pageBreakBefore w:val="0"/>
        <w:wordWrap/>
        <w:overflowPunct/>
        <w:topLinePunct w:val="0"/>
        <w:bidi w:val="0"/>
        <w:spacing w:line="560" w:lineRule="exact"/>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14:textFill>
            <w14:solidFill>
              <w14:schemeClr w14:val="tx1"/>
            </w14:solidFill>
          </w14:textFill>
        </w:rPr>
        <w:t>根据</w:t>
      </w:r>
      <w:r>
        <w:rPr>
          <w:rFonts w:hint="eastAsia"/>
          <w:color w:val="000000" w:themeColor="text1"/>
          <w:highlight w:val="none"/>
          <w:lang w:val="en-US" w:eastAsia="zh-CN"/>
          <w14:textFill>
            <w14:solidFill>
              <w14:schemeClr w14:val="tx1"/>
            </w14:solidFill>
          </w14:textFill>
        </w:rPr>
        <w:t>紫竹路幼儿园</w:t>
      </w:r>
      <w:r>
        <w:rPr>
          <w:rFonts w:hint="eastAsia"/>
          <w:color w:val="000000" w:themeColor="text1"/>
          <w:highlight w:val="none"/>
          <w:lang w:val="en-US"/>
          <w14:textFill>
            <w14:solidFill>
              <w14:schemeClr w14:val="tx1"/>
            </w14:solidFill>
          </w14:textFill>
        </w:rPr>
        <w:t>202</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lang w:val="en-US"/>
          <w14:textFill>
            <w14:solidFill>
              <w14:schemeClr w14:val="tx1"/>
            </w14:solidFill>
          </w14:textFill>
        </w:rPr>
        <w:t>年预算、决算表</w:t>
      </w:r>
      <w:r>
        <w:rPr>
          <w:rFonts w:hint="eastAsia"/>
          <w:color w:val="000000" w:themeColor="text1"/>
          <w:highlight w:val="none"/>
          <w:lang w:val="en-US" w:eastAsia="zh-CN"/>
          <w14:textFill>
            <w14:solidFill>
              <w14:schemeClr w14:val="tx1"/>
            </w14:solidFill>
          </w14:textFill>
        </w:rPr>
        <w:t>及结算表</w:t>
      </w:r>
      <w:r>
        <w:rPr>
          <w:rFonts w:hint="eastAsia"/>
          <w:color w:val="000000" w:themeColor="text1"/>
          <w:highlight w:val="none"/>
          <w:lang w:val="en-US"/>
          <w14:textFill>
            <w14:solidFill>
              <w14:schemeClr w14:val="tx1"/>
            </w14:solidFill>
          </w14:textFill>
        </w:rPr>
        <w:t>，单位202</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lang w:val="en-US"/>
          <w14:textFill>
            <w14:solidFill>
              <w14:schemeClr w14:val="tx1"/>
            </w14:solidFill>
          </w14:textFill>
        </w:rPr>
        <w:t>年预算数为257.1万元，</w:t>
      </w:r>
      <w:r>
        <w:rPr>
          <w:rFonts w:hint="eastAsia"/>
          <w:color w:val="000000" w:themeColor="text1"/>
          <w:highlight w:val="none"/>
          <w:lang w:val="en-US" w:eastAsia="zh-CN"/>
          <w14:textFill>
            <w14:solidFill>
              <w14:schemeClr w14:val="tx1"/>
            </w14:solidFill>
          </w14:textFill>
        </w:rPr>
        <w:t>调整预算数为425.7万元，</w:t>
      </w:r>
      <w:r>
        <w:rPr>
          <w:rFonts w:hint="eastAsia"/>
          <w:color w:val="000000" w:themeColor="text1"/>
          <w:highlight w:val="none"/>
          <w:lang w:val="en-US"/>
          <w14:textFill>
            <w14:solidFill>
              <w14:schemeClr w14:val="tx1"/>
            </w14:solidFill>
          </w14:textFill>
        </w:rPr>
        <w:t>支出决算数为</w:t>
      </w:r>
      <w:r>
        <w:rPr>
          <w:rFonts w:hint="eastAsia"/>
          <w:color w:val="000000" w:themeColor="text1"/>
          <w:highlight w:val="none"/>
          <w:lang w:val="en-US" w:eastAsia="zh-CN"/>
          <w14:textFill>
            <w14:solidFill>
              <w14:schemeClr w14:val="tx1"/>
            </w14:solidFill>
          </w14:textFill>
        </w:rPr>
        <w:t>341.5万元。</w:t>
      </w:r>
    </w:p>
    <w:p w14:paraId="3B9D44D5">
      <w:pPr>
        <w:pStyle w:val="4"/>
        <w:pageBreakBefore w:val="0"/>
        <w:wordWrap/>
        <w:overflowPunct/>
        <w:topLinePunct w:val="0"/>
        <w:bidi w:val="0"/>
        <w:spacing w:line="560" w:lineRule="exact"/>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根据评分公式，部门全年预算调剂金额/年初部门预算数=0.65&gt;0.1</w:t>
      </w:r>
    </w:p>
    <w:p w14:paraId="5CF95FF9">
      <w:pPr>
        <w:pStyle w:val="4"/>
        <w:pageBreakBefore w:val="0"/>
        <w:wordWrap/>
        <w:overflowPunct/>
        <w:topLinePunct w:val="0"/>
        <w:bidi w:val="0"/>
        <w:spacing w:line="560" w:lineRule="exact"/>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综合上述分析，此项指标分值10分，实际得分0分，扣分10分。</w:t>
      </w:r>
    </w:p>
    <w:p w14:paraId="1A3D5245">
      <w:pPr>
        <w:pStyle w:val="4"/>
        <w:pageBreakBefore w:val="0"/>
        <w:widowControl w:val="0"/>
        <w:numPr>
          <w:ilvl w:val="0"/>
          <w:numId w:val="3"/>
        </w:numPr>
        <w:kinsoku/>
        <w:wordWrap/>
        <w:overflowPunct/>
        <w:topLinePunct w:val="0"/>
        <w:autoSpaceDE/>
        <w:autoSpaceDN/>
        <w:bidi w:val="0"/>
        <w:spacing w:line="560" w:lineRule="exact"/>
        <w:ind w:left="0" w:leftChars="0" w:firstLine="643" w:firstLineChars="200"/>
        <w:textAlignment w:val="auto"/>
        <w:outlineLvl w:val="2"/>
        <w:rPr>
          <w:rFonts w:hint="eastAsia"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预算执行</w:t>
      </w:r>
    </w:p>
    <w:p w14:paraId="096A613A">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①支出控制</w:t>
      </w:r>
    </w:p>
    <w:p w14:paraId="7A9AFB02">
      <w:pPr>
        <w:pStyle w:val="4"/>
        <w:pageBreakBefore w:val="0"/>
        <w:wordWrap/>
        <w:overflowPunct/>
        <w:topLinePunct w:val="0"/>
        <w:bidi w:val="0"/>
        <w:spacing w:line="560" w:lineRule="exact"/>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14:textFill>
            <w14:solidFill>
              <w14:schemeClr w14:val="tx1"/>
            </w14:solidFill>
          </w14:textFill>
        </w:rPr>
        <w:t>日常公用经费及项目支出中“办公费、印刷费、水费、电费、物业管理费”等科目年初预算数为</w:t>
      </w:r>
      <w:r>
        <w:rPr>
          <w:rFonts w:hint="eastAsia"/>
          <w:color w:val="000000" w:themeColor="text1"/>
          <w:highlight w:val="none"/>
          <w:lang w:val="en-US" w:eastAsia="zh-CN"/>
          <w14:textFill>
            <w14:solidFill>
              <w14:schemeClr w14:val="tx1"/>
            </w14:solidFill>
          </w14:textFill>
        </w:rPr>
        <w:t>81.79</w:t>
      </w:r>
      <w:r>
        <w:rPr>
          <w:rFonts w:hint="eastAsia"/>
          <w:color w:val="000000" w:themeColor="text1"/>
          <w:highlight w:val="none"/>
          <w:lang w:val="en-US"/>
          <w14:textFill>
            <w14:solidFill>
              <w14:schemeClr w14:val="tx1"/>
            </w14:solidFill>
          </w14:textFill>
        </w:rPr>
        <w:t>万元，决算数为</w:t>
      </w:r>
      <w:r>
        <w:rPr>
          <w:rFonts w:hint="eastAsia"/>
          <w:color w:val="000000" w:themeColor="text1"/>
          <w:highlight w:val="none"/>
          <w:lang w:val="en-US" w:eastAsia="zh-CN"/>
          <w14:textFill>
            <w14:solidFill>
              <w14:schemeClr w14:val="tx1"/>
            </w14:solidFill>
          </w14:textFill>
        </w:rPr>
        <w:t>55.18</w:t>
      </w:r>
      <w:r>
        <w:rPr>
          <w:rFonts w:hint="eastAsia"/>
          <w:color w:val="000000" w:themeColor="text1"/>
          <w:highlight w:val="none"/>
          <w:lang w:val="en-US"/>
          <w14:textFill>
            <w14:solidFill>
              <w14:schemeClr w14:val="tx1"/>
            </w14:solidFill>
          </w14:textFill>
        </w:rPr>
        <w:t>万元，预决算偏差程度为</w:t>
      </w:r>
      <w:r>
        <w:rPr>
          <w:rFonts w:hint="eastAsia"/>
          <w:color w:val="000000" w:themeColor="text1"/>
          <w:highlight w:val="none"/>
          <w:lang w:val="en-US" w:eastAsia="zh-CN"/>
          <w14:textFill>
            <w14:solidFill>
              <w14:schemeClr w14:val="tx1"/>
            </w14:solidFill>
          </w14:textFill>
        </w:rPr>
        <w:t>32.54%</w:t>
      </w:r>
      <w:r>
        <w:rPr>
          <w:rFonts w:hint="eastAsia"/>
          <w:color w:val="000000" w:themeColor="text1"/>
          <w:highlight w:val="none"/>
          <w:lang w:val="en-US"/>
          <w14:textFill>
            <w14:solidFill>
              <w14:schemeClr w14:val="tx1"/>
            </w14:solidFill>
          </w14:textFill>
        </w:rPr>
        <w:t>，偏差程度</w:t>
      </w:r>
      <w:r>
        <w:rPr>
          <w:rFonts w:hint="eastAsia"/>
          <w:color w:val="000000" w:themeColor="text1"/>
          <w:highlight w:val="none"/>
          <w:lang w:val="en-US" w:eastAsia="zh-CN"/>
          <w14:textFill>
            <w14:solidFill>
              <w14:schemeClr w14:val="tx1"/>
            </w14:solidFill>
          </w14:textFill>
        </w:rPr>
        <w:t>超过20%，预算编制不够准确。</w:t>
      </w:r>
    </w:p>
    <w:p w14:paraId="4AAE7C65">
      <w:pPr>
        <w:pStyle w:val="4"/>
        <w:pageBreakBefore w:val="0"/>
        <w:wordWrap/>
        <w:overflowPunct/>
        <w:topLinePunct w:val="0"/>
        <w:bidi w:val="0"/>
        <w:spacing w:line="560" w:lineRule="exact"/>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综合上述分析，此项指标分值10分，实际得分0分，扣分10分。</w:t>
      </w:r>
    </w:p>
    <w:p w14:paraId="1451F3A8">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②动态调整</w:t>
      </w:r>
    </w:p>
    <w:p w14:paraId="61124EF8">
      <w:pPr>
        <w:pStyle w:val="4"/>
        <w:pageBreakBefore w:val="0"/>
        <w:wordWrap/>
        <w:overflowPunct/>
        <w:topLinePunct w:val="0"/>
        <w:bidi w:val="0"/>
        <w:spacing w:line="560" w:lineRule="exact"/>
        <w:rPr>
          <w:rFonts w:hint="eastAsia"/>
          <w:highlight w:val="none"/>
        </w:rPr>
      </w:pPr>
      <w:r>
        <w:rPr>
          <w:rFonts w:hint="eastAsia"/>
          <w:highlight w:val="none"/>
        </w:rPr>
        <w:t>根据部门项目绩效监控分析表及相关数据知，</w:t>
      </w:r>
      <w:r>
        <w:rPr>
          <w:rFonts w:hint="eastAsia"/>
          <w:highlight w:val="none"/>
          <w:lang w:val="en-US" w:eastAsia="zh-CN"/>
        </w:rPr>
        <w:t>紫竹路幼儿园</w:t>
      </w:r>
      <w:r>
        <w:rPr>
          <w:rFonts w:hint="eastAsia"/>
          <w:highlight w:val="none"/>
        </w:rPr>
        <w:t>开展绩效运行监控后，无相应调整取消额，无结余注销额，绩效监控结果应用情况良好。</w:t>
      </w:r>
    </w:p>
    <w:p w14:paraId="0D41950D">
      <w:pPr>
        <w:pStyle w:val="4"/>
        <w:pageBreakBefore w:val="0"/>
        <w:wordWrap/>
        <w:overflowPunct/>
        <w:topLinePunct w:val="0"/>
        <w:bidi w:val="0"/>
        <w:spacing w:line="560" w:lineRule="exact"/>
        <w:rPr>
          <w:rFonts w:hint="eastAsia"/>
          <w:highlight w:val="none"/>
          <w:lang w:val="en-US" w:eastAsia="zh-CN"/>
        </w:rPr>
      </w:pPr>
      <w:r>
        <w:rPr>
          <w:rFonts w:hint="eastAsia"/>
          <w:color w:val="000000" w:themeColor="text1"/>
          <w:highlight w:val="none"/>
          <w:lang w:val="en-US" w:eastAsia="zh-CN"/>
          <w14:textFill>
            <w14:solidFill>
              <w14:schemeClr w14:val="tx1"/>
            </w14:solidFill>
          </w14:textFill>
        </w:rPr>
        <w:t>综合上述分析，此项指标分值10分，实际得分10分。</w:t>
      </w:r>
    </w:p>
    <w:p w14:paraId="6397BF94">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③执行进度</w:t>
      </w:r>
    </w:p>
    <w:p w14:paraId="5129CEF7">
      <w:pPr>
        <w:pStyle w:val="4"/>
        <w:pageBreakBefore w:val="0"/>
        <w:wordWrap/>
        <w:overflowPunct/>
        <w:topLinePunct w:val="0"/>
        <w:bidi w:val="0"/>
        <w:spacing w:line="560" w:lineRule="exact"/>
        <w:rPr>
          <w:rFonts w:hint="eastAsia"/>
          <w:highlight w:val="none"/>
        </w:rPr>
      </w:pPr>
      <w:r>
        <w:rPr>
          <w:rFonts w:hint="eastAsia"/>
          <w:highlight w:val="none"/>
        </w:rPr>
        <w:t>在</w:t>
      </w:r>
      <w:r>
        <w:rPr>
          <w:rFonts w:hint="eastAsia"/>
          <w:highlight w:val="none"/>
          <w:lang w:val="en-US"/>
        </w:rPr>
        <w:t>202</w:t>
      </w:r>
      <w:r>
        <w:rPr>
          <w:rFonts w:hint="eastAsia"/>
          <w:highlight w:val="none"/>
          <w:lang w:val="en-US" w:eastAsia="zh-CN"/>
        </w:rPr>
        <w:t>1</w:t>
      </w:r>
      <w:r>
        <w:rPr>
          <w:rFonts w:hint="eastAsia"/>
          <w:highlight w:val="none"/>
          <w:lang w:val="en-US"/>
        </w:rPr>
        <w:t>年6月、9</w:t>
      </w:r>
      <w:r>
        <w:rPr>
          <w:rFonts w:hint="eastAsia"/>
          <w:highlight w:val="none"/>
        </w:rPr>
        <w:t>月、11月预算执行进度</w:t>
      </w:r>
      <w:r>
        <w:rPr>
          <w:highlight w:val="none"/>
        </w:rPr>
        <w:t>分别为</w:t>
      </w:r>
      <w:r>
        <w:rPr>
          <w:rFonts w:hint="eastAsia"/>
          <w:highlight w:val="none"/>
        </w:rPr>
        <w:t>38.02%、</w:t>
      </w:r>
      <w:r>
        <w:rPr>
          <w:rFonts w:hint="eastAsia"/>
          <w:highlight w:val="none"/>
          <w:lang w:val="en-US" w:eastAsia="zh-CN"/>
        </w:rPr>
        <w:t>61.02%</w:t>
      </w:r>
      <w:r>
        <w:rPr>
          <w:rFonts w:hint="eastAsia"/>
          <w:highlight w:val="none"/>
        </w:rPr>
        <w:t>、</w:t>
      </w:r>
      <w:r>
        <w:rPr>
          <w:rFonts w:hint="eastAsia"/>
          <w:highlight w:val="none"/>
          <w:lang w:val="en-US" w:eastAsia="zh-CN"/>
        </w:rPr>
        <w:t>80.07%</w:t>
      </w:r>
      <w:r>
        <w:rPr>
          <w:rFonts w:hint="eastAsia"/>
          <w:highlight w:val="none"/>
        </w:rPr>
        <w:t>（实际支出</w:t>
      </w:r>
      <w:r>
        <w:rPr>
          <w:rFonts w:hint="eastAsia"/>
          <w:highlight w:val="none"/>
          <w:lang w:val="en-US"/>
        </w:rPr>
        <w:t>金额</w:t>
      </w:r>
      <w:r>
        <w:rPr>
          <w:rFonts w:hint="eastAsia"/>
          <w:highlight w:val="none"/>
        </w:rPr>
        <w:t>分别为</w:t>
      </w:r>
      <w:r>
        <w:rPr>
          <w:rFonts w:hint="eastAsia"/>
          <w:highlight w:val="none"/>
          <w:lang w:val="en-US" w:eastAsia="zh-CN"/>
        </w:rPr>
        <w:t>129.84</w:t>
      </w:r>
      <w:r>
        <w:rPr>
          <w:rFonts w:hint="eastAsia"/>
          <w:highlight w:val="none"/>
        </w:rPr>
        <w:t>万元、</w:t>
      </w:r>
      <w:r>
        <w:rPr>
          <w:rFonts w:hint="eastAsia"/>
          <w:highlight w:val="none"/>
          <w:lang w:val="en-US" w:eastAsia="zh-CN"/>
        </w:rPr>
        <w:t>208.38</w:t>
      </w:r>
      <w:r>
        <w:rPr>
          <w:rFonts w:hint="eastAsia"/>
          <w:highlight w:val="none"/>
        </w:rPr>
        <w:t>万元、</w:t>
      </w:r>
      <w:r>
        <w:rPr>
          <w:rFonts w:hint="eastAsia"/>
          <w:highlight w:val="none"/>
          <w:lang w:val="en-US" w:eastAsia="zh-CN"/>
        </w:rPr>
        <w:t>273.4</w:t>
      </w:r>
      <w:r>
        <w:rPr>
          <w:rFonts w:hint="eastAsia"/>
          <w:highlight w:val="none"/>
        </w:rPr>
        <w:t>万元），</w:t>
      </w:r>
      <w:r>
        <w:rPr>
          <w:rFonts w:hint="eastAsia"/>
          <w:highlight w:val="none"/>
          <w:lang w:val="en-US" w:eastAsia="zh-CN"/>
        </w:rPr>
        <w:t>6月、9月、11月</w:t>
      </w:r>
      <w:r>
        <w:rPr>
          <w:rFonts w:hint="eastAsia"/>
          <w:highlight w:val="none"/>
        </w:rPr>
        <w:t>实际支出进度</w:t>
      </w:r>
      <w:r>
        <w:rPr>
          <w:rFonts w:hint="eastAsia"/>
          <w:highlight w:val="none"/>
          <w:lang w:val="en-US" w:eastAsia="zh-CN"/>
        </w:rPr>
        <w:t>均未</w:t>
      </w:r>
      <w:r>
        <w:rPr>
          <w:rFonts w:hint="eastAsia"/>
          <w:highlight w:val="none"/>
        </w:rPr>
        <w:t>达到40%、67.5%</w:t>
      </w:r>
      <w:r>
        <w:rPr>
          <w:rFonts w:hint="eastAsia"/>
          <w:highlight w:val="none"/>
          <w:lang w:eastAsia="zh-CN"/>
        </w:rPr>
        <w:t>、</w:t>
      </w:r>
      <w:r>
        <w:rPr>
          <w:rFonts w:hint="eastAsia"/>
          <w:highlight w:val="none"/>
          <w:lang w:val="en-US" w:eastAsia="zh-CN"/>
        </w:rPr>
        <w:t>82.5%，</w:t>
      </w:r>
      <w:r>
        <w:rPr>
          <w:rFonts w:hint="eastAsia"/>
          <w:highlight w:val="none"/>
          <w:lang w:val="en-US"/>
        </w:rPr>
        <w:t>预算</w:t>
      </w:r>
      <w:r>
        <w:rPr>
          <w:rFonts w:hint="eastAsia"/>
          <w:highlight w:val="none"/>
        </w:rPr>
        <w:t>执行进度完成</w:t>
      </w:r>
      <w:r>
        <w:rPr>
          <w:rFonts w:hint="eastAsia"/>
          <w:highlight w:val="none"/>
          <w:lang w:val="en-US" w:eastAsia="zh-CN"/>
        </w:rPr>
        <w:t>欠佳</w:t>
      </w:r>
      <w:r>
        <w:rPr>
          <w:rFonts w:hint="eastAsia"/>
          <w:highlight w:val="none"/>
        </w:rPr>
        <w:t>。</w:t>
      </w:r>
    </w:p>
    <w:p w14:paraId="7C36A6AA">
      <w:pPr>
        <w:pStyle w:val="4"/>
        <w:pageBreakBefore w:val="0"/>
        <w:wordWrap/>
        <w:overflowPunct/>
        <w:topLinePunct w:val="0"/>
        <w:bidi w:val="0"/>
        <w:spacing w:line="560" w:lineRule="exact"/>
        <w:rPr>
          <w:rFonts w:hint="default"/>
          <w:highlight w:val="none"/>
          <w:lang w:val="en-US"/>
        </w:rPr>
      </w:pPr>
      <w:r>
        <w:rPr>
          <w:rFonts w:hint="eastAsia"/>
          <w:color w:val="000000" w:themeColor="text1"/>
          <w:highlight w:val="none"/>
          <w:lang w:val="en-US" w:eastAsia="zh-CN"/>
          <w14:textFill>
            <w14:solidFill>
              <w14:schemeClr w14:val="tx1"/>
            </w14:solidFill>
          </w14:textFill>
        </w:rPr>
        <w:t>根据评分公式，指标得分=</w:t>
      </w:r>
      <w:r>
        <w:rPr>
          <w:rFonts w:hint="eastAsia"/>
          <w:highlight w:val="none"/>
          <w:lang w:val="en-US" w:eastAsia="zh-CN"/>
        </w:rPr>
        <w:t>1298401.73/3414751.21/0.4*3+2083804.61/3414751.21/0.675*4+2734027.57/3414751.21/0.825*3=</w:t>
      </w:r>
      <w:r>
        <w:rPr>
          <w:rFonts w:hint="eastAsia"/>
          <w:color w:val="000000" w:themeColor="text1"/>
          <w:highlight w:val="none"/>
          <w:lang w:val="en-US" w:eastAsia="zh-CN"/>
          <w14:textFill>
            <w14:solidFill>
              <w14:schemeClr w14:val="tx1"/>
            </w14:solidFill>
          </w14:textFill>
        </w:rPr>
        <w:t>9.38分</w:t>
      </w:r>
    </w:p>
    <w:p w14:paraId="3B87E8CC">
      <w:pPr>
        <w:pStyle w:val="4"/>
        <w:pageBreakBefore w:val="0"/>
        <w:wordWrap/>
        <w:overflowPunct/>
        <w:topLinePunct w:val="0"/>
        <w:bidi w:val="0"/>
        <w:spacing w:line="560" w:lineRule="exact"/>
        <w:rPr>
          <w:rFonts w:hint="default"/>
          <w:highlight w:val="none"/>
          <w:lang w:val="en-US" w:eastAsia="zh-CN"/>
        </w:rPr>
      </w:pPr>
      <w:r>
        <w:rPr>
          <w:rFonts w:hint="eastAsia"/>
          <w:color w:val="000000" w:themeColor="text1"/>
          <w:highlight w:val="none"/>
          <w:lang w:val="en-US" w:eastAsia="zh-CN"/>
          <w14:textFill>
            <w14:solidFill>
              <w14:schemeClr w14:val="tx1"/>
            </w14:solidFill>
          </w14:textFill>
        </w:rPr>
        <w:t>综合上述分析，此项指标分值10分，实际得分9.38分，扣分0.62分。</w:t>
      </w:r>
    </w:p>
    <w:p w14:paraId="709356AE">
      <w:pPr>
        <w:pStyle w:val="4"/>
        <w:pageBreakBefore w:val="0"/>
        <w:widowControl w:val="0"/>
        <w:numPr>
          <w:ilvl w:val="0"/>
          <w:numId w:val="3"/>
        </w:numPr>
        <w:kinsoku/>
        <w:wordWrap/>
        <w:overflowPunct/>
        <w:topLinePunct w:val="0"/>
        <w:autoSpaceDE/>
        <w:autoSpaceDN/>
        <w:bidi w:val="0"/>
        <w:spacing w:line="560" w:lineRule="exact"/>
        <w:ind w:left="0" w:leftChars="0" w:firstLine="643" w:firstLineChars="200"/>
        <w:textAlignment w:val="auto"/>
        <w:outlineLvl w:val="2"/>
        <w:rPr>
          <w:rFonts w:hint="default"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完成结果</w:t>
      </w:r>
    </w:p>
    <w:p w14:paraId="36620A4C">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①预算完成</w:t>
      </w:r>
    </w:p>
    <w:p w14:paraId="6BC4B6A8">
      <w:pPr>
        <w:pStyle w:val="4"/>
        <w:pageBreakBefore w:val="0"/>
        <w:wordWrap/>
        <w:overflowPunct/>
        <w:topLinePunct w:val="0"/>
        <w:bidi w:val="0"/>
        <w:spacing w:line="560" w:lineRule="exact"/>
        <w:rPr>
          <w:rFonts w:hint="eastAsia" w:ascii="Times New Roman" w:hAnsi="Times New Roman" w:eastAsia="仿宋_GB2312" w:cs="Times New Roman"/>
          <w:kern w:val="0"/>
          <w:sz w:val="32"/>
          <w:szCs w:val="32"/>
          <w:highlight w:val="none"/>
        </w:rPr>
      </w:pPr>
      <w:r>
        <w:rPr>
          <w:rFonts w:hint="eastAsia" w:ascii="Times New Roman" w:hAnsi="Times New Roman" w:eastAsia="仿宋_GB2312" w:cs="Times New Roman"/>
          <w:kern w:val="0"/>
          <w:sz w:val="32"/>
          <w:szCs w:val="32"/>
          <w:highlight w:val="none"/>
        </w:rPr>
        <w:t>202</w:t>
      </w:r>
      <w:r>
        <w:rPr>
          <w:rFonts w:hint="eastAsia" w:ascii="Times New Roman" w:hAnsi="Times New Roman" w:eastAsia="仿宋_GB2312" w:cs="Times New Roman"/>
          <w:kern w:val="0"/>
          <w:sz w:val="32"/>
          <w:szCs w:val="32"/>
          <w:highlight w:val="none"/>
          <w:lang w:val="en-US" w:eastAsia="zh-CN"/>
        </w:rPr>
        <w:t>1</w:t>
      </w:r>
      <w:r>
        <w:rPr>
          <w:rFonts w:hint="eastAsia" w:ascii="Times New Roman" w:hAnsi="Times New Roman" w:eastAsia="仿宋_GB2312" w:cs="Times New Roman"/>
          <w:kern w:val="0"/>
          <w:sz w:val="32"/>
          <w:szCs w:val="32"/>
          <w:highlight w:val="none"/>
        </w:rPr>
        <w:t>年部门</w:t>
      </w:r>
      <w:r>
        <w:rPr>
          <w:rFonts w:hint="eastAsia" w:ascii="Times New Roman" w:hAnsi="Times New Roman" w:eastAsia="仿宋_GB2312" w:cs="Times New Roman"/>
          <w:kern w:val="0"/>
          <w:sz w:val="32"/>
          <w:szCs w:val="32"/>
          <w:highlight w:val="none"/>
          <w:lang w:val="en-US" w:eastAsia="zh-CN"/>
        </w:rPr>
        <w:t>调整</w:t>
      </w:r>
      <w:r>
        <w:rPr>
          <w:rFonts w:hint="eastAsia" w:ascii="Times New Roman" w:hAnsi="Times New Roman" w:eastAsia="仿宋_GB2312" w:cs="Times New Roman"/>
          <w:kern w:val="0"/>
          <w:sz w:val="32"/>
          <w:szCs w:val="32"/>
          <w:highlight w:val="none"/>
        </w:rPr>
        <w:t>预算</w:t>
      </w:r>
      <w:r>
        <w:rPr>
          <w:rFonts w:hint="eastAsia" w:cs="Times New Roman"/>
          <w:kern w:val="0"/>
          <w:sz w:val="32"/>
          <w:szCs w:val="32"/>
          <w:highlight w:val="none"/>
          <w:lang w:val="en-US" w:eastAsia="zh-CN"/>
        </w:rPr>
        <w:t>数</w:t>
      </w:r>
      <w:r>
        <w:rPr>
          <w:rFonts w:hint="eastAsia" w:ascii="Times New Roman" w:hAnsi="Times New Roman" w:eastAsia="仿宋_GB2312" w:cs="Times New Roman"/>
          <w:kern w:val="0"/>
          <w:sz w:val="32"/>
          <w:szCs w:val="32"/>
          <w:highlight w:val="none"/>
          <w:lang w:val="en-US" w:eastAsia="zh-CN"/>
        </w:rPr>
        <w:t>为</w:t>
      </w:r>
      <w:r>
        <w:rPr>
          <w:rFonts w:hint="eastAsia"/>
          <w:color w:val="000000" w:themeColor="text1"/>
          <w:highlight w:val="none"/>
          <w:lang w:val="en-US" w:eastAsia="zh-CN"/>
          <w14:textFill>
            <w14:solidFill>
              <w14:schemeClr w14:val="tx1"/>
            </w14:solidFill>
          </w14:textFill>
        </w:rPr>
        <w:t>425.7万元，</w:t>
      </w:r>
      <w:r>
        <w:rPr>
          <w:rFonts w:hint="eastAsia"/>
          <w:color w:val="000000" w:themeColor="text1"/>
          <w:highlight w:val="none"/>
          <w:lang w:val="en-US"/>
          <w14:textFill>
            <w14:solidFill>
              <w14:schemeClr w14:val="tx1"/>
            </w14:solidFill>
          </w14:textFill>
        </w:rPr>
        <w:t>支出决算数为</w:t>
      </w:r>
      <w:r>
        <w:rPr>
          <w:rFonts w:hint="eastAsia"/>
          <w:color w:val="000000" w:themeColor="text1"/>
          <w:highlight w:val="none"/>
          <w:lang w:val="en-US" w:eastAsia="zh-CN"/>
          <w14:textFill>
            <w14:solidFill>
              <w14:schemeClr w14:val="tx1"/>
            </w14:solidFill>
          </w14:textFill>
        </w:rPr>
        <w:t>341.5万元</w:t>
      </w:r>
      <w:r>
        <w:rPr>
          <w:rFonts w:hint="eastAsia" w:ascii="Times New Roman" w:hAnsi="Times New Roman" w:eastAsia="仿宋_GB2312" w:cs="Times New Roman"/>
          <w:kern w:val="0"/>
          <w:sz w:val="32"/>
          <w:szCs w:val="32"/>
          <w:highlight w:val="none"/>
        </w:rPr>
        <w:t>，部门整体实际预算执行率为</w:t>
      </w:r>
      <w:r>
        <w:rPr>
          <w:rFonts w:hint="eastAsia" w:ascii="Times New Roman" w:hAnsi="Times New Roman" w:eastAsia="仿宋"/>
          <w:color w:val="auto"/>
          <w:sz w:val="32"/>
          <w:szCs w:val="32"/>
          <w:lang w:val="en-US" w:eastAsia="zh-CN"/>
        </w:rPr>
        <w:t>80.21%</w:t>
      </w:r>
      <w:r>
        <w:rPr>
          <w:rFonts w:hint="eastAsia" w:ascii="Times New Roman" w:hAnsi="Times New Roman" w:eastAsia="仿宋_GB2312" w:cs="Times New Roman"/>
          <w:kern w:val="0"/>
          <w:sz w:val="32"/>
          <w:szCs w:val="32"/>
          <w:highlight w:val="none"/>
        </w:rPr>
        <w:t>，预算完成情况</w:t>
      </w:r>
      <w:r>
        <w:rPr>
          <w:rFonts w:hint="eastAsia" w:cs="Times New Roman"/>
          <w:kern w:val="0"/>
          <w:sz w:val="32"/>
          <w:szCs w:val="32"/>
          <w:highlight w:val="none"/>
          <w:lang w:val="en-US" w:eastAsia="zh-CN"/>
        </w:rPr>
        <w:t>有待加强</w:t>
      </w:r>
      <w:r>
        <w:rPr>
          <w:rFonts w:hint="eastAsia" w:ascii="Times New Roman" w:hAnsi="Times New Roman" w:eastAsia="仿宋_GB2312" w:cs="Times New Roman"/>
          <w:kern w:val="0"/>
          <w:sz w:val="32"/>
          <w:szCs w:val="32"/>
          <w:highlight w:val="none"/>
        </w:rPr>
        <w:t>。</w:t>
      </w:r>
    </w:p>
    <w:p w14:paraId="782348EC">
      <w:pPr>
        <w:pStyle w:val="4"/>
        <w:pageBreakBefore w:val="0"/>
        <w:wordWrap/>
        <w:overflowPunct/>
        <w:topLinePunct w:val="0"/>
        <w:bidi w:val="0"/>
        <w:spacing w:line="560" w:lineRule="exact"/>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根据评分公式，得分=</w:t>
      </w:r>
      <w:r>
        <w:rPr>
          <w:rFonts w:hint="eastAsia" w:ascii="Times New Roman" w:hAnsi="Times New Roman" w:eastAsia="仿宋"/>
          <w:color w:val="auto"/>
          <w:sz w:val="32"/>
          <w:szCs w:val="32"/>
          <w:lang w:val="en-US" w:eastAsia="zh-CN"/>
        </w:rPr>
        <w:t>80.21%*</w:t>
      </w:r>
      <w:r>
        <w:rPr>
          <w:rFonts w:hint="eastAsia" w:eastAsia="仿宋"/>
          <w:color w:val="auto"/>
          <w:sz w:val="32"/>
          <w:szCs w:val="32"/>
          <w:lang w:val="en-US" w:eastAsia="zh-CN"/>
        </w:rPr>
        <w:t>10=8.02分</w:t>
      </w:r>
    </w:p>
    <w:p w14:paraId="7A338E08">
      <w:pPr>
        <w:pStyle w:val="4"/>
        <w:pageBreakBefore w:val="0"/>
        <w:wordWrap/>
        <w:overflowPunct/>
        <w:topLinePunct w:val="0"/>
        <w:bidi w:val="0"/>
        <w:spacing w:line="560" w:lineRule="exact"/>
        <w:rPr>
          <w:rFonts w:hint="eastAsia" w:ascii="Times New Roman" w:hAnsi="Times New Roman" w:eastAsia="仿宋_GB2312" w:cs="Times New Roman"/>
          <w:kern w:val="0"/>
          <w:sz w:val="32"/>
          <w:szCs w:val="32"/>
          <w:highlight w:val="none"/>
        </w:rPr>
      </w:pPr>
      <w:r>
        <w:rPr>
          <w:rFonts w:hint="eastAsia"/>
          <w:color w:val="000000" w:themeColor="text1"/>
          <w:highlight w:val="none"/>
          <w:lang w:val="en-US" w:eastAsia="zh-CN"/>
          <w14:textFill>
            <w14:solidFill>
              <w14:schemeClr w14:val="tx1"/>
            </w14:solidFill>
          </w14:textFill>
        </w:rPr>
        <w:t>综合上述分析，此项指标分值10分，实际得分8.02分，扣分1.98分。</w:t>
      </w:r>
    </w:p>
    <w:p w14:paraId="7AD41644">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②违规记录</w:t>
      </w:r>
    </w:p>
    <w:p w14:paraId="07CD0DE2">
      <w:pPr>
        <w:pageBreakBefore w:val="0"/>
        <w:wordWrap/>
        <w:overflowPunct/>
        <w:topLinePunct w:val="0"/>
        <w:autoSpaceDE w:val="0"/>
        <w:autoSpaceDN w:val="0"/>
        <w:bidi w:val="0"/>
        <w:adjustRightInd w:val="0"/>
        <w:spacing w:line="560" w:lineRule="exact"/>
        <w:ind w:firstLine="640" w:firstLineChars="200"/>
        <w:jc w:val="left"/>
        <w:rPr>
          <w:rFonts w:hint="eastAsia" w:ascii="Times New Roman" w:hAnsi="Times New Roman" w:eastAsia="仿宋_GB2312" w:cs="Times New Roman"/>
          <w:kern w:val="0"/>
          <w:sz w:val="32"/>
          <w:szCs w:val="32"/>
          <w:highlight w:val="none"/>
        </w:rPr>
      </w:pPr>
      <w:r>
        <w:rPr>
          <w:rFonts w:hint="eastAsia" w:ascii="Times New Roman" w:hAnsi="Times New Roman" w:eastAsia="仿宋_GB2312" w:cs="Times New Roman"/>
          <w:kern w:val="0"/>
          <w:sz w:val="32"/>
          <w:szCs w:val="32"/>
          <w:highlight w:val="none"/>
          <w:lang w:val="en-US" w:eastAsia="zh-CN"/>
        </w:rPr>
        <w:t>根据审计监督、财政检查结果尚未发现该项目的违规记录。</w:t>
      </w:r>
    </w:p>
    <w:p w14:paraId="5B6158E0">
      <w:pPr>
        <w:pStyle w:val="2"/>
        <w:pageBreakBefore w:val="0"/>
        <w:wordWrap/>
        <w:overflowPunct/>
        <w:topLinePunct w:val="0"/>
        <w:bidi w:val="0"/>
        <w:spacing w:line="560" w:lineRule="exact"/>
        <w:rPr>
          <w:rFonts w:hint="default" w:eastAsia="仿宋_GB2312"/>
          <w:highlight w:val="none"/>
          <w:lang w:val="en-US" w:eastAsia="zh-CN"/>
        </w:rPr>
      </w:pPr>
      <w:r>
        <w:rPr>
          <w:rFonts w:hint="eastAsia" w:eastAsia="仿宋_GB2312" w:cs="Times New Roman"/>
          <w:kern w:val="0"/>
          <w:sz w:val="32"/>
          <w:szCs w:val="32"/>
          <w:highlight w:val="none"/>
          <w:lang w:val="en-US" w:eastAsia="zh-CN"/>
        </w:rPr>
        <w:t>综合上述分析，此项指标分值10分，实际得分10分.</w:t>
      </w:r>
    </w:p>
    <w:p w14:paraId="5C247F93">
      <w:pPr>
        <w:pStyle w:val="4"/>
        <w:pageBreakBefore w:val="0"/>
        <w:widowControl w:val="0"/>
        <w:numPr>
          <w:ilvl w:val="-1"/>
          <w:numId w:val="0"/>
        </w:numPr>
        <w:kinsoku/>
        <w:wordWrap/>
        <w:overflowPunct/>
        <w:topLinePunct w:val="0"/>
        <w:autoSpaceDE/>
        <w:autoSpaceDN/>
        <w:bidi w:val="0"/>
        <w:spacing w:line="560" w:lineRule="exact"/>
        <w:ind w:left="0" w:leftChars="0" w:firstLine="643" w:firstLineChars="200"/>
        <w:textAlignment w:val="auto"/>
        <w:outlineLvl w:val="2"/>
        <w:rPr>
          <w:rFonts w:hint="default"/>
          <w:lang w:val="en-US" w:eastAsia="zh-CN"/>
        </w:rPr>
      </w:pPr>
      <w:r>
        <w:rPr>
          <w:rFonts w:hint="eastAsia" w:ascii="仿宋" w:hAnsi="仿宋" w:eastAsia="仿宋" w:cs="仿宋"/>
          <w:b/>
          <w:color w:val="auto"/>
          <w:kern w:val="2"/>
          <w:sz w:val="32"/>
          <w:szCs w:val="32"/>
          <w:lang w:val="en-US" w:eastAsia="zh-CN" w:bidi="ar-SA"/>
        </w:rPr>
        <w:t>2.绩效结果应用</w:t>
      </w:r>
    </w:p>
    <w:p w14:paraId="4C46E2BA">
      <w:pPr>
        <w:pStyle w:val="4"/>
        <w:pageBreakBefore w:val="0"/>
        <w:widowControl w:val="0"/>
        <w:numPr>
          <w:ilvl w:val="0"/>
          <w:numId w:val="0"/>
        </w:numPr>
        <w:kinsoku/>
        <w:wordWrap/>
        <w:overflowPunct/>
        <w:topLinePunct w:val="0"/>
        <w:autoSpaceDE/>
        <w:autoSpaceDN/>
        <w:bidi w:val="0"/>
        <w:spacing w:line="560" w:lineRule="exact"/>
        <w:ind w:leftChars="200"/>
        <w:textAlignment w:val="auto"/>
        <w:outlineLvl w:val="2"/>
        <w:rPr>
          <w:rFonts w:hint="default"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（1）信息公开</w:t>
      </w:r>
    </w:p>
    <w:p w14:paraId="194D8C64">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①自评公开</w:t>
      </w:r>
    </w:p>
    <w:p w14:paraId="700E0C0D">
      <w:pPr>
        <w:pStyle w:val="4"/>
        <w:pageBreakBefore w:val="0"/>
        <w:wordWrap/>
        <w:overflowPunct/>
        <w:topLinePunct w:val="0"/>
        <w:bidi w:val="0"/>
        <w:spacing w:line="560" w:lineRule="exact"/>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紫竹路幼儿园</w:t>
      </w:r>
      <w:r>
        <w:rPr>
          <w:color w:val="000000" w:themeColor="text1"/>
          <w:highlight w:val="none"/>
          <w14:textFill>
            <w14:solidFill>
              <w14:schemeClr w14:val="tx1"/>
            </w14:solidFill>
          </w14:textFill>
        </w:rPr>
        <w:t>20</w:t>
      </w:r>
      <w:r>
        <w:rPr>
          <w:rFonts w:hint="eastAsia"/>
          <w:color w:val="000000" w:themeColor="text1"/>
          <w:highlight w:val="none"/>
          <w:lang w:val="en-US" w:eastAsia="zh-CN"/>
          <w14:textFill>
            <w14:solidFill>
              <w14:schemeClr w14:val="tx1"/>
            </w14:solidFill>
          </w14:textFill>
        </w:rPr>
        <w:t>21</w:t>
      </w:r>
      <w:r>
        <w:rPr>
          <w:color w:val="000000" w:themeColor="text1"/>
          <w:highlight w:val="none"/>
          <w14:textFill>
            <w14:solidFill>
              <w14:schemeClr w14:val="tx1"/>
            </w14:solidFill>
          </w14:textFill>
        </w:rPr>
        <w:t>年预算编制说明和</w:t>
      </w:r>
      <w:r>
        <w:rPr>
          <w:rFonts w:hint="eastAsia"/>
          <w:color w:val="000000" w:themeColor="text1"/>
          <w:highlight w:val="none"/>
          <w14:textFill>
            <w14:solidFill>
              <w14:schemeClr w14:val="tx1"/>
            </w14:solidFill>
          </w14:textFill>
        </w:rPr>
        <w:t>附件</w:t>
      </w:r>
      <w:r>
        <w:rPr>
          <w:color w:val="000000" w:themeColor="text1"/>
          <w:highlight w:val="none"/>
          <w14:textFill>
            <w14:solidFill>
              <w14:schemeClr w14:val="tx1"/>
            </w14:solidFill>
          </w14:textFill>
        </w:rPr>
        <w:t>、20</w:t>
      </w:r>
      <w:r>
        <w:rPr>
          <w:rFonts w:hint="eastAsia"/>
          <w:color w:val="000000" w:themeColor="text1"/>
          <w:highlight w:val="none"/>
          <w:lang w:val="en-US" w:eastAsia="zh-CN"/>
          <w14:textFill>
            <w14:solidFill>
              <w14:schemeClr w14:val="tx1"/>
            </w14:solidFill>
          </w14:textFill>
        </w:rPr>
        <w:t>21</w:t>
      </w:r>
      <w:r>
        <w:rPr>
          <w:color w:val="000000" w:themeColor="text1"/>
          <w:highlight w:val="none"/>
          <w14:textFill>
            <w14:solidFill>
              <w14:schemeClr w14:val="tx1"/>
            </w14:solidFill>
          </w14:textFill>
        </w:rPr>
        <w:t>年决算公开编制说明和</w:t>
      </w:r>
      <w:r>
        <w:rPr>
          <w:rFonts w:hint="eastAsia"/>
          <w:color w:val="000000" w:themeColor="text1"/>
          <w:highlight w:val="none"/>
          <w14:textFill>
            <w14:solidFill>
              <w14:schemeClr w14:val="tx1"/>
            </w14:solidFill>
          </w14:textFill>
        </w:rPr>
        <w:t>附件</w:t>
      </w:r>
      <w:r>
        <w:rPr>
          <w:color w:val="000000" w:themeColor="text1"/>
          <w:highlight w:val="none"/>
          <w14:textFill>
            <w14:solidFill>
              <w14:schemeClr w14:val="tx1"/>
            </w14:solidFill>
          </w14:textFill>
        </w:rPr>
        <w:t>已按规定公开</w:t>
      </w:r>
      <w:r>
        <w:rPr>
          <w:rFonts w:hint="eastAsia"/>
          <w:color w:val="000000" w:themeColor="text1"/>
          <w:highlight w:val="none"/>
          <w14:textFill>
            <w14:solidFill>
              <w14:schemeClr w14:val="tx1"/>
            </w14:solidFill>
          </w14:textFill>
        </w:rPr>
        <w:t>于</w:t>
      </w:r>
      <w:r>
        <w:rPr>
          <w:rFonts w:hint="eastAsia"/>
          <w:color w:val="000000" w:themeColor="text1"/>
          <w:highlight w:val="none"/>
          <w:lang w:val="en-US" w:eastAsia="zh-CN"/>
          <w14:textFill>
            <w14:solidFill>
              <w14:schemeClr w14:val="tx1"/>
            </w14:solidFill>
          </w14:textFill>
        </w:rPr>
        <w:t>遂宁市河东新区管理委员会政府</w:t>
      </w:r>
      <w:r>
        <w:rPr>
          <w:rFonts w:hint="eastAsia"/>
          <w:color w:val="000000" w:themeColor="text1"/>
          <w:highlight w:val="none"/>
          <w14:textFill>
            <w14:solidFill>
              <w14:schemeClr w14:val="tx1"/>
            </w14:solidFill>
          </w14:textFill>
        </w:rPr>
        <w:t>信息公开网</w:t>
      </w:r>
      <w:r>
        <w:rPr>
          <w:color w:val="000000" w:themeColor="text1"/>
          <w:highlight w:val="none"/>
          <w14:textFill>
            <w14:solidFill>
              <w14:schemeClr w14:val="tx1"/>
            </w14:solidFill>
          </w14:textFill>
        </w:rPr>
        <w:t>，20</w:t>
      </w:r>
      <w:r>
        <w:rPr>
          <w:rFonts w:hint="eastAsia"/>
          <w:color w:val="000000" w:themeColor="text1"/>
          <w:highlight w:val="none"/>
          <w:lang w:val="en-US" w:eastAsia="zh-CN"/>
          <w14:textFill>
            <w14:solidFill>
              <w14:schemeClr w14:val="tx1"/>
            </w14:solidFill>
          </w14:textFill>
        </w:rPr>
        <w:t>21</w:t>
      </w:r>
      <w:r>
        <w:rPr>
          <w:color w:val="000000" w:themeColor="text1"/>
          <w:highlight w:val="none"/>
          <w14:textFill>
            <w14:solidFill>
              <w14:schemeClr w14:val="tx1"/>
            </w14:solidFill>
          </w14:textFill>
        </w:rPr>
        <w:t>年度整体支出绩效自评报告已随决算</w:t>
      </w:r>
      <w:r>
        <w:rPr>
          <w:rFonts w:hint="eastAsia"/>
          <w:color w:val="000000" w:themeColor="text1"/>
          <w:highlight w:val="none"/>
          <w:lang w:val="en-US"/>
          <w14:textFill>
            <w14:solidFill>
              <w14:schemeClr w14:val="tx1"/>
            </w14:solidFill>
          </w14:textFill>
        </w:rPr>
        <w:t>同时</w:t>
      </w:r>
      <w:r>
        <w:rPr>
          <w:color w:val="000000" w:themeColor="text1"/>
          <w:highlight w:val="none"/>
          <w14:textFill>
            <w14:solidFill>
              <w14:schemeClr w14:val="tx1"/>
            </w14:solidFill>
          </w14:textFill>
        </w:rPr>
        <w:t>公开，符合</w:t>
      </w:r>
      <w:r>
        <w:rPr>
          <w:rFonts w:hint="eastAsia"/>
          <w:color w:val="000000" w:themeColor="text1"/>
          <w:highlight w:val="none"/>
          <w14:textFill>
            <w14:solidFill>
              <w14:schemeClr w14:val="tx1"/>
            </w14:solidFill>
          </w14:textFill>
        </w:rPr>
        <w:t>信息公开</w:t>
      </w:r>
      <w:r>
        <w:rPr>
          <w:color w:val="000000" w:themeColor="text1"/>
          <w:highlight w:val="none"/>
          <w14:textFill>
            <w14:solidFill>
              <w14:schemeClr w14:val="tx1"/>
            </w14:solidFill>
          </w14:textFill>
        </w:rPr>
        <w:t>相关</w:t>
      </w:r>
      <w:r>
        <w:rPr>
          <w:rFonts w:hint="eastAsia"/>
          <w:color w:val="000000" w:themeColor="text1"/>
          <w:highlight w:val="none"/>
          <w:lang w:val="en-US"/>
          <w14:textFill>
            <w14:solidFill>
              <w14:schemeClr w14:val="tx1"/>
            </w14:solidFill>
          </w14:textFill>
        </w:rPr>
        <w:t>法律法规</w:t>
      </w:r>
      <w:r>
        <w:rPr>
          <w:color w:val="000000" w:themeColor="text1"/>
          <w:highlight w:val="none"/>
          <w14:textFill>
            <w14:solidFill>
              <w14:schemeClr w14:val="tx1"/>
            </w14:solidFill>
          </w14:textFill>
        </w:rPr>
        <w:t>规定。</w:t>
      </w:r>
    </w:p>
    <w:p w14:paraId="24DF1618">
      <w:pPr>
        <w:pStyle w:val="4"/>
        <w:pageBreakBefore w:val="0"/>
        <w:wordWrap/>
        <w:overflowPunct/>
        <w:topLinePunct w:val="0"/>
        <w:bidi w:val="0"/>
        <w:spacing w:line="560" w:lineRule="exact"/>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综合上述分析，此项指标分值2分，实际得分2分。</w:t>
      </w:r>
    </w:p>
    <w:p w14:paraId="418A043E">
      <w:pPr>
        <w:pStyle w:val="4"/>
        <w:pageBreakBefore w:val="0"/>
        <w:widowControl w:val="0"/>
        <w:numPr>
          <w:ilvl w:val="0"/>
          <w:numId w:val="0"/>
        </w:numPr>
        <w:kinsoku/>
        <w:wordWrap/>
        <w:overflowPunct/>
        <w:topLinePunct w:val="0"/>
        <w:autoSpaceDE/>
        <w:autoSpaceDN/>
        <w:bidi w:val="0"/>
        <w:spacing w:line="560" w:lineRule="exact"/>
        <w:ind w:leftChars="200"/>
        <w:textAlignment w:val="auto"/>
        <w:outlineLvl w:val="2"/>
        <w:rPr>
          <w:rFonts w:hint="default"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（2）整改反馈</w:t>
      </w:r>
    </w:p>
    <w:p w14:paraId="214C9202">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①结果整改</w:t>
      </w:r>
    </w:p>
    <w:p w14:paraId="775DF849">
      <w:pPr>
        <w:pStyle w:val="4"/>
        <w:pageBreakBefore w:val="0"/>
        <w:wordWrap/>
        <w:overflowPunct/>
        <w:topLinePunct w:val="0"/>
        <w:bidi w:val="0"/>
        <w:spacing w:line="560" w:lineRule="exact"/>
        <w:rPr>
          <w:rFonts w:hint="eastAsia" w:eastAsia="仿宋_GB2312"/>
          <w:highlight w:val="none"/>
          <w:lang w:eastAsia="zh-CN"/>
        </w:rPr>
      </w:pPr>
      <w:r>
        <w:rPr>
          <w:rFonts w:hint="eastAsia"/>
          <w:highlight w:val="none"/>
          <w:lang w:val="en-US"/>
        </w:rPr>
        <w:t>202</w:t>
      </w:r>
      <w:r>
        <w:rPr>
          <w:rFonts w:hint="eastAsia"/>
          <w:highlight w:val="none"/>
          <w:lang w:val="en-US" w:eastAsia="zh-CN"/>
        </w:rPr>
        <w:t>1</w:t>
      </w:r>
      <w:r>
        <w:rPr>
          <w:highlight w:val="none"/>
        </w:rPr>
        <w:t>年</w:t>
      </w:r>
      <w:r>
        <w:rPr>
          <w:rFonts w:hint="eastAsia"/>
          <w:highlight w:val="none"/>
          <w:lang w:val="en-US" w:eastAsia="zh-CN"/>
        </w:rPr>
        <w:t>紫竹路幼儿园</w:t>
      </w:r>
      <w:r>
        <w:rPr>
          <w:rFonts w:hint="eastAsia"/>
          <w:highlight w:val="none"/>
        </w:rPr>
        <w:t>针对绩效管理过程中（包括绩效目标核查、绩效监控核查和重点绩效评价）提出的问题进行了相应的整改，并将绩效管理结果用于完善政策、改进管理、预算挂钩等相关程序中</w:t>
      </w:r>
      <w:r>
        <w:rPr>
          <w:rFonts w:hint="eastAsia"/>
          <w:highlight w:val="none"/>
          <w:lang w:eastAsia="zh-CN"/>
        </w:rPr>
        <w:t>。</w:t>
      </w:r>
    </w:p>
    <w:p w14:paraId="28360DD8">
      <w:pPr>
        <w:pStyle w:val="4"/>
        <w:pageBreakBefore w:val="0"/>
        <w:wordWrap/>
        <w:overflowPunct/>
        <w:topLinePunct w:val="0"/>
        <w:bidi w:val="0"/>
        <w:spacing w:line="560" w:lineRule="exact"/>
        <w:rPr>
          <w:rFonts w:hint="eastAsia" w:ascii="Times New Roman" w:hAnsi="Times New Roman" w:cs="Times New Roman"/>
          <w:b/>
          <w:bCs/>
          <w:color w:val="auto"/>
          <w:szCs w:val="32"/>
          <w:lang w:val="en-US" w:eastAsia="zh-CN"/>
        </w:rPr>
      </w:pPr>
      <w:r>
        <w:rPr>
          <w:rFonts w:hint="eastAsia"/>
          <w:highlight w:val="none"/>
          <w:lang w:val="en-US" w:eastAsia="zh-CN"/>
        </w:rPr>
        <w:t>综合上述分析，</w:t>
      </w:r>
      <w:r>
        <w:rPr>
          <w:rFonts w:hint="eastAsia"/>
          <w:highlight w:val="none"/>
        </w:rPr>
        <w:t>根据评分标准，该项指标</w:t>
      </w:r>
      <w:r>
        <w:rPr>
          <w:rFonts w:hint="eastAsia"/>
          <w:highlight w:val="none"/>
          <w:lang w:val="en-US" w:eastAsia="zh-CN"/>
        </w:rPr>
        <w:t>分值4分，实际</w:t>
      </w:r>
      <w:r>
        <w:rPr>
          <w:rFonts w:hint="eastAsia"/>
          <w:highlight w:val="none"/>
        </w:rPr>
        <w:t>得4分</w:t>
      </w:r>
      <w:r>
        <w:rPr>
          <w:rFonts w:hint="eastAsia"/>
          <w:highlight w:val="none"/>
          <w:lang w:eastAsia="zh-CN"/>
        </w:rPr>
        <w:t>。</w:t>
      </w:r>
    </w:p>
    <w:p w14:paraId="4E8EA58C">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②应用反馈</w:t>
      </w:r>
    </w:p>
    <w:p w14:paraId="56A6E75B">
      <w:pPr>
        <w:pStyle w:val="4"/>
        <w:pageBreakBefore w:val="0"/>
        <w:wordWrap/>
        <w:overflowPunct/>
        <w:topLinePunct w:val="0"/>
        <w:bidi w:val="0"/>
        <w:spacing w:line="560" w:lineRule="exact"/>
        <w:rPr>
          <w:rFonts w:hint="eastAsia"/>
          <w:highlight w:val="none"/>
          <w:lang w:val="zh-CN"/>
        </w:rPr>
      </w:pPr>
      <w:r>
        <w:rPr>
          <w:rFonts w:hint="eastAsia"/>
          <w:highlight w:val="none"/>
          <w:lang w:val="en-US" w:eastAsia="zh-CN"/>
        </w:rPr>
        <w:t>紫竹路幼儿园</w:t>
      </w:r>
      <w:r>
        <w:rPr>
          <w:rFonts w:hint="eastAsia"/>
          <w:highlight w:val="none"/>
          <w:lang w:val="zh-CN"/>
        </w:rPr>
        <w:t>在202</w:t>
      </w:r>
      <w:r>
        <w:rPr>
          <w:rFonts w:hint="eastAsia"/>
          <w:highlight w:val="none"/>
          <w:lang w:val="en-US" w:eastAsia="zh-CN"/>
        </w:rPr>
        <w:t>2</w:t>
      </w:r>
      <w:r>
        <w:rPr>
          <w:rFonts w:hint="eastAsia"/>
          <w:highlight w:val="none"/>
          <w:lang w:val="zh-CN"/>
        </w:rPr>
        <w:t>年</w:t>
      </w:r>
      <w:r>
        <w:rPr>
          <w:rFonts w:hint="eastAsia"/>
          <w:highlight w:val="none"/>
          <w:lang w:val="en-US" w:eastAsia="zh-CN"/>
        </w:rPr>
        <w:t>6</w:t>
      </w:r>
      <w:r>
        <w:rPr>
          <w:rFonts w:hint="eastAsia"/>
          <w:highlight w:val="none"/>
          <w:lang w:val="zh-CN"/>
        </w:rPr>
        <w:t>月按规定将《遂宁市河东新区紫竹路幼儿园202</w:t>
      </w:r>
      <w:r>
        <w:rPr>
          <w:rFonts w:hint="eastAsia"/>
          <w:highlight w:val="none"/>
          <w:lang w:val="en-US" w:eastAsia="zh-CN"/>
        </w:rPr>
        <w:t>1</w:t>
      </w:r>
      <w:r>
        <w:rPr>
          <w:rFonts w:hint="eastAsia"/>
          <w:highlight w:val="none"/>
          <w:lang w:val="zh-CN"/>
        </w:rPr>
        <w:t>年部门整体支出绩效评价报告》提交遂宁市河东新区财政金融国资管理局财政监督和绩效管理股。</w:t>
      </w:r>
    </w:p>
    <w:p w14:paraId="271C5AD8">
      <w:pPr>
        <w:pStyle w:val="4"/>
        <w:pageBreakBefore w:val="0"/>
        <w:wordWrap/>
        <w:overflowPunct/>
        <w:topLinePunct w:val="0"/>
        <w:bidi w:val="0"/>
        <w:spacing w:line="560" w:lineRule="exact"/>
        <w:rPr>
          <w:rFonts w:hint="default" w:ascii="Times New Roman" w:hAnsi="Times New Roman" w:cs="Times New Roman"/>
          <w:b/>
          <w:bCs/>
          <w:color w:val="auto"/>
          <w:szCs w:val="32"/>
          <w:lang w:val="en-US" w:eastAsia="zh-CN"/>
        </w:rPr>
      </w:pPr>
      <w:r>
        <w:rPr>
          <w:rFonts w:hint="eastAsia"/>
          <w:highlight w:val="none"/>
          <w:lang w:val="zh-CN"/>
        </w:rPr>
        <w:t>根据评分标准，该项指标</w:t>
      </w:r>
      <w:r>
        <w:rPr>
          <w:rFonts w:hint="eastAsia"/>
          <w:highlight w:val="none"/>
          <w:lang w:val="en-US" w:eastAsia="zh-CN"/>
        </w:rPr>
        <w:t>分值4分，实际</w:t>
      </w:r>
      <w:r>
        <w:rPr>
          <w:rFonts w:hint="eastAsia"/>
          <w:highlight w:val="none"/>
          <w:lang w:val="zh-CN"/>
        </w:rPr>
        <w:t>得4分。</w:t>
      </w:r>
    </w:p>
    <w:p w14:paraId="32B0814E">
      <w:pPr>
        <w:pStyle w:val="4"/>
        <w:pageBreakBefore w:val="0"/>
        <w:widowControl w:val="0"/>
        <w:numPr>
          <w:ilvl w:val="-1"/>
          <w:numId w:val="0"/>
        </w:numPr>
        <w:kinsoku/>
        <w:wordWrap/>
        <w:overflowPunct/>
        <w:topLinePunct w:val="0"/>
        <w:autoSpaceDE/>
        <w:autoSpaceDN/>
        <w:bidi w:val="0"/>
        <w:spacing w:line="560" w:lineRule="exact"/>
        <w:ind w:left="0" w:leftChars="0" w:firstLine="643" w:firstLineChars="200"/>
        <w:textAlignment w:val="auto"/>
        <w:outlineLvl w:val="2"/>
        <w:rPr>
          <w:rFonts w:hint="default"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3.自评质量</w:t>
      </w:r>
    </w:p>
    <w:p w14:paraId="6330D623">
      <w:pPr>
        <w:pStyle w:val="4"/>
        <w:pageBreakBefore w:val="0"/>
        <w:widowControl w:val="0"/>
        <w:numPr>
          <w:ilvl w:val="0"/>
          <w:numId w:val="0"/>
        </w:numPr>
        <w:kinsoku/>
        <w:wordWrap/>
        <w:overflowPunct/>
        <w:topLinePunct w:val="0"/>
        <w:autoSpaceDE/>
        <w:autoSpaceDN/>
        <w:bidi w:val="0"/>
        <w:spacing w:line="560" w:lineRule="exact"/>
        <w:ind w:leftChars="200"/>
        <w:textAlignment w:val="auto"/>
        <w:outlineLvl w:val="2"/>
        <w:rPr>
          <w:rFonts w:hint="default"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（1）自评质量</w:t>
      </w:r>
    </w:p>
    <w:p w14:paraId="3B37CAFC">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①自评准确</w:t>
      </w:r>
    </w:p>
    <w:p w14:paraId="6E25119E">
      <w:pPr>
        <w:pStyle w:val="4"/>
        <w:pageBreakBefore w:val="0"/>
        <w:wordWrap/>
        <w:overflowPunct/>
        <w:topLinePunct w:val="0"/>
        <w:bidi w:val="0"/>
        <w:spacing w:line="560" w:lineRule="exact"/>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2021年</w:t>
      </w:r>
      <w:r>
        <w:rPr>
          <w:rFonts w:hint="eastAsia" w:cs="Times New Roman"/>
          <w:highlight w:val="none"/>
          <w:lang w:val="en-US" w:eastAsia="zh-CN"/>
        </w:rPr>
        <w:t>紫竹路幼儿园</w:t>
      </w:r>
      <w:r>
        <w:rPr>
          <w:rFonts w:hint="eastAsia" w:ascii="Times New Roman" w:hAnsi="Times New Roman" w:cs="Times New Roman"/>
          <w:highlight w:val="none"/>
          <w:lang w:val="en-US" w:eastAsia="zh-CN"/>
        </w:rPr>
        <w:t>自评为</w:t>
      </w:r>
      <w:r>
        <w:rPr>
          <w:rFonts w:hint="eastAsia" w:cs="Times New Roman"/>
          <w:highlight w:val="none"/>
          <w:lang w:val="en-US" w:eastAsia="zh-CN"/>
        </w:rPr>
        <w:t>69</w:t>
      </w:r>
      <w:r>
        <w:rPr>
          <w:rFonts w:hint="eastAsia" w:ascii="Times New Roman" w:hAnsi="Times New Roman" w:cs="Times New Roman"/>
          <w:highlight w:val="none"/>
          <w:lang w:val="en-US" w:eastAsia="zh-CN"/>
        </w:rPr>
        <w:t>分，评价组评分为</w:t>
      </w:r>
      <w:r>
        <w:rPr>
          <w:rFonts w:hint="eastAsia" w:cs="Times New Roman"/>
          <w:highlight w:val="none"/>
          <w:lang w:val="en-US" w:eastAsia="zh-CN"/>
        </w:rPr>
        <w:t>67.4</w:t>
      </w:r>
      <w:r>
        <w:rPr>
          <w:rFonts w:hint="eastAsia" w:ascii="Times New Roman" w:hAnsi="Times New Roman" w:cs="Times New Roman"/>
          <w:highlight w:val="none"/>
          <w:lang w:val="en-US" w:eastAsia="zh-CN"/>
        </w:rPr>
        <w:t>分，差异为2.</w:t>
      </w:r>
      <w:r>
        <w:rPr>
          <w:rFonts w:hint="eastAsia" w:cs="Times New Roman"/>
          <w:highlight w:val="none"/>
          <w:lang w:val="en-US" w:eastAsia="zh-CN"/>
        </w:rPr>
        <w:t>30</w:t>
      </w:r>
      <w:r>
        <w:rPr>
          <w:rFonts w:hint="eastAsia" w:ascii="Times New Roman" w:hAnsi="Times New Roman" w:cs="Times New Roman"/>
          <w:highlight w:val="none"/>
          <w:lang w:val="en-US" w:eastAsia="zh-CN"/>
        </w:rPr>
        <w:t>%，</w:t>
      </w:r>
      <w:r>
        <w:rPr>
          <w:rFonts w:hint="eastAsia" w:cs="Times New Roman"/>
          <w:highlight w:val="none"/>
          <w:lang w:val="en-US" w:eastAsia="zh-CN"/>
        </w:rPr>
        <w:t>差异在5%以内，</w:t>
      </w:r>
      <w:r>
        <w:rPr>
          <w:rFonts w:hint="eastAsia" w:ascii="Times New Roman" w:hAnsi="Times New Roman" w:cs="Times New Roman"/>
          <w:highlight w:val="none"/>
          <w:lang w:val="en-US" w:eastAsia="zh-CN"/>
        </w:rPr>
        <w:t>自评质量</w:t>
      </w:r>
      <w:r>
        <w:rPr>
          <w:rFonts w:hint="eastAsia" w:cs="Times New Roman"/>
          <w:highlight w:val="none"/>
          <w:lang w:val="en-US" w:eastAsia="zh-CN"/>
        </w:rPr>
        <w:t>较好</w:t>
      </w:r>
      <w:r>
        <w:rPr>
          <w:rFonts w:hint="eastAsia" w:ascii="Times New Roman" w:hAnsi="Times New Roman" w:cs="Times New Roman"/>
          <w:highlight w:val="none"/>
          <w:lang w:val="en-US" w:eastAsia="zh-CN"/>
        </w:rPr>
        <w:t>。</w:t>
      </w:r>
    </w:p>
    <w:p w14:paraId="56CC168E">
      <w:pPr>
        <w:pStyle w:val="4"/>
        <w:pageBreakBefore w:val="0"/>
        <w:wordWrap/>
        <w:overflowPunct/>
        <w:topLinePunct w:val="0"/>
        <w:bidi w:val="0"/>
        <w:spacing w:line="560" w:lineRule="exact"/>
        <w:rPr>
          <w:rFonts w:hint="eastAsia" w:cs="Times New Roman"/>
          <w:highlight w:val="none"/>
          <w:lang w:val="en-US" w:eastAsia="zh-CN"/>
        </w:rPr>
      </w:pPr>
      <w:r>
        <w:rPr>
          <w:rFonts w:hint="eastAsia" w:cs="Times New Roman"/>
          <w:highlight w:val="none"/>
          <w:lang w:val="en-US" w:eastAsia="zh-CN"/>
        </w:rPr>
        <w:t>综合上述分析，该项指标分值10分，实际得分10分。</w:t>
      </w:r>
    </w:p>
    <w:p w14:paraId="109D2F3F">
      <w:pPr>
        <w:pStyle w:val="3"/>
        <w:pageBreakBefore w:val="0"/>
        <w:numPr>
          <w:ilvl w:val="0"/>
          <w:numId w:val="0"/>
        </w:numPr>
        <w:kinsoku/>
        <w:wordWrap/>
        <w:overflowPunct/>
        <w:topLinePunct w:val="0"/>
        <w:autoSpaceDE/>
        <w:autoSpaceDN/>
        <w:bidi w:val="0"/>
        <w:spacing w:line="560" w:lineRule="exact"/>
        <w:ind w:left="0" w:leftChars="0" w:firstLine="640" w:firstLineChars="200"/>
        <w:outlineLvl w:val="0"/>
        <w:rPr>
          <w:rFonts w:hint="default"/>
          <w:color w:val="auto"/>
          <w:lang w:val="en-US"/>
        </w:rPr>
      </w:pPr>
      <w:bookmarkStart w:id="552" w:name="_Toc31231"/>
      <w:bookmarkStart w:id="553" w:name="_Toc30374"/>
      <w:r>
        <w:rPr>
          <w:rFonts w:hint="eastAsia"/>
          <w:color w:val="auto"/>
          <w:lang w:val="en-US" w:eastAsia="zh-CN"/>
        </w:rPr>
        <w:t>七、</w:t>
      </w:r>
      <w:r>
        <w:rPr>
          <w:rFonts w:hint="eastAsia"/>
          <w:color w:val="auto"/>
        </w:rPr>
        <w:t>存在问题</w:t>
      </w:r>
      <w:r>
        <w:rPr>
          <w:rFonts w:hint="eastAsia"/>
          <w:color w:val="auto"/>
          <w:lang w:val="en-US" w:eastAsia="zh-CN"/>
        </w:rPr>
        <w:t>及改进措施</w:t>
      </w:r>
      <w:bookmarkEnd w:id="552"/>
      <w:bookmarkEnd w:id="553"/>
    </w:p>
    <w:p w14:paraId="7079D1F2">
      <w:pPr>
        <w:pStyle w:val="4"/>
        <w:pageBreakBefore w:val="0"/>
        <w:widowControl w:val="0"/>
        <w:kinsoku/>
        <w:wordWrap/>
        <w:overflowPunct/>
        <w:topLinePunct w:val="0"/>
        <w:autoSpaceDE/>
        <w:autoSpaceDN/>
        <w:bidi w:val="0"/>
        <w:spacing w:line="560" w:lineRule="exact"/>
        <w:ind w:left="0" w:leftChars="0" w:firstLine="643" w:firstLineChars="200"/>
        <w:textAlignment w:val="auto"/>
        <w:outlineLvl w:val="1"/>
        <w:rPr>
          <w:rFonts w:hint="eastAsia" w:ascii="楷体" w:hAnsi="楷体" w:eastAsia="楷体" w:cs="楷体"/>
          <w:b/>
          <w:bCs/>
          <w:color w:val="auto"/>
          <w:lang w:val="en-US" w:eastAsia="zh-CN"/>
        </w:rPr>
      </w:pPr>
      <w:bookmarkStart w:id="554" w:name="_Toc23728"/>
      <w:bookmarkStart w:id="555" w:name="_Toc157"/>
      <w:r>
        <w:rPr>
          <w:rFonts w:hint="eastAsia" w:ascii="楷体" w:hAnsi="楷体" w:eastAsia="楷体" w:cs="楷体"/>
          <w:b/>
          <w:bCs/>
          <w:color w:val="auto"/>
          <w:lang w:val="en-US" w:eastAsia="zh-CN"/>
        </w:rPr>
        <w:t>（一）存在问题及原因分析</w:t>
      </w:r>
      <w:bookmarkEnd w:id="554"/>
      <w:bookmarkEnd w:id="555"/>
    </w:p>
    <w:p w14:paraId="4B4A1388">
      <w:pPr>
        <w:pStyle w:val="4"/>
        <w:pageBreakBefore w:val="0"/>
        <w:widowControl w:val="0"/>
        <w:numPr>
          <w:ilvl w:val="-1"/>
          <w:numId w:val="0"/>
        </w:numPr>
        <w:kinsoku/>
        <w:wordWrap/>
        <w:overflowPunct/>
        <w:topLinePunct w:val="0"/>
        <w:autoSpaceDE/>
        <w:autoSpaceDN/>
        <w:bidi w:val="0"/>
        <w:spacing w:line="560" w:lineRule="exact"/>
        <w:ind w:left="0" w:leftChars="0" w:firstLine="643" w:firstLineChars="200"/>
        <w:textAlignment w:val="auto"/>
        <w:outlineLvl w:val="2"/>
        <w:rPr>
          <w:rFonts w:hint="eastAsia"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1.部门年初预算编制不够科学准确</w:t>
      </w:r>
    </w:p>
    <w:p w14:paraId="50B66B62">
      <w:pPr>
        <w:pStyle w:val="4"/>
        <w:pageBreakBefore w:val="0"/>
        <w:wordWrap/>
        <w:overflowPunct/>
        <w:topLinePunct w:val="0"/>
        <w:bidi w:val="0"/>
        <w:spacing w:line="560" w:lineRule="exact"/>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经评价组核查，2021年</w:t>
      </w:r>
      <w:r>
        <w:rPr>
          <w:rFonts w:hint="eastAsia" w:cs="Times New Roman"/>
          <w:highlight w:val="none"/>
          <w:lang w:val="en-US" w:eastAsia="zh-CN"/>
        </w:rPr>
        <w:t>紫竹路幼儿园</w:t>
      </w:r>
      <w:r>
        <w:rPr>
          <w:rFonts w:hint="eastAsia" w:ascii="Times New Roman" w:hAnsi="Times New Roman" w:cs="Times New Roman"/>
          <w:highlight w:val="none"/>
          <w:lang w:val="en-US" w:eastAsia="zh-CN"/>
        </w:rPr>
        <w:t>年初预算数为257.1万元，调整预算</w:t>
      </w:r>
      <w:r>
        <w:rPr>
          <w:rFonts w:hint="eastAsia" w:cs="Times New Roman"/>
          <w:highlight w:val="none"/>
          <w:lang w:val="en-US" w:eastAsia="zh-CN"/>
        </w:rPr>
        <w:t>数</w:t>
      </w:r>
      <w:r>
        <w:rPr>
          <w:rFonts w:hint="eastAsia" w:ascii="Times New Roman" w:hAnsi="Times New Roman" w:cs="Times New Roman"/>
          <w:highlight w:val="none"/>
          <w:lang w:val="en-US" w:eastAsia="zh-CN"/>
        </w:rPr>
        <w:t>为425.7万元，预决算偏差程度为65.59%，偏差率较大，预算编制不</w:t>
      </w:r>
      <w:r>
        <w:rPr>
          <w:rFonts w:hint="eastAsia" w:cs="Times New Roman"/>
          <w:highlight w:val="none"/>
          <w:lang w:val="en-US" w:eastAsia="zh-CN"/>
        </w:rPr>
        <w:t>够</w:t>
      </w:r>
      <w:r>
        <w:rPr>
          <w:rFonts w:hint="eastAsia" w:ascii="Times New Roman" w:hAnsi="Times New Roman" w:cs="Times New Roman"/>
          <w:highlight w:val="none"/>
          <w:lang w:val="en-US" w:eastAsia="zh-CN"/>
        </w:rPr>
        <w:t>准确。</w:t>
      </w:r>
    </w:p>
    <w:p w14:paraId="6401BC09">
      <w:pPr>
        <w:pStyle w:val="4"/>
        <w:keepNext w:val="0"/>
        <w:keepLines w:val="0"/>
        <w:pageBreakBefore w:val="0"/>
        <w:wordWrap/>
        <w:overflowPunct/>
        <w:topLinePunct w:val="0"/>
        <w:bidi w:val="0"/>
        <w:adjustRightInd w:val="0"/>
        <w:spacing w:line="560" w:lineRule="exact"/>
        <w:rPr>
          <w:rFonts w:hint="default" w:ascii="Times New Roman" w:hAnsi="Times New Roman" w:cs="Times New Roman"/>
          <w:highlight w:val="none"/>
          <w:lang w:val="en-US" w:eastAsia="zh-CN"/>
        </w:rPr>
      </w:pPr>
      <w:r>
        <w:rPr>
          <w:rFonts w:hint="eastAsia" w:ascii="Times New Roman" w:hAnsi="Times New Roman" w:cs="Times New Roman"/>
          <w:highlight w:val="none"/>
          <w:lang w:val="en-US" w:eastAsia="zh-CN"/>
        </w:rPr>
        <w:t>日常公用经费及项目支出中“办公费、印刷费、水费、电费、物业管理费”等科目年初预算数为</w:t>
      </w:r>
      <w:r>
        <w:rPr>
          <w:rFonts w:hint="eastAsia" w:cs="Times New Roman"/>
          <w:highlight w:val="none"/>
          <w:lang w:val="en-US" w:eastAsia="zh-CN"/>
        </w:rPr>
        <w:t>81.79</w:t>
      </w:r>
      <w:r>
        <w:rPr>
          <w:rFonts w:hint="eastAsia" w:ascii="Times New Roman" w:hAnsi="Times New Roman" w:cs="Times New Roman"/>
          <w:highlight w:val="none"/>
          <w:lang w:val="en-US" w:eastAsia="zh-CN"/>
        </w:rPr>
        <w:t>万元，决算数为</w:t>
      </w:r>
      <w:r>
        <w:rPr>
          <w:rFonts w:hint="eastAsia" w:cs="Times New Roman"/>
          <w:highlight w:val="none"/>
          <w:lang w:val="en-US" w:eastAsia="zh-CN"/>
        </w:rPr>
        <w:t>55.18</w:t>
      </w:r>
      <w:r>
        <w:rPr>
          <w:rFonts w:hint="eastAsia" w:ascii="Times New Roman" w:hAnsi="Times New Roman" w:cs="Times New Roman"/>
          <w:highlight w:val="none"/>
          <w:lang w:val="en-US" w:eastAsia="zh-CN"/>
        </w:rPr>
        <w:t>万元，预决算偏差程度为32.54%，偏差程度超过</w:t>
      </w:r>
      <w:r>
        <w:rPr>
          <w:rFonts w:hint="eastAsia" w:cs="Times New Roman"/>
          <w:highlight w:val="none"/>
          <w:lang w:val="en-US" w:eastAsia="zh-CN"/>
        </w:rPr>
        <w:t>2</w:t>
      </w:r>
      <w:r>
        <w:rPr>
          <w:rFonts w:hint="eastAsia" w:ascii="Times New Roman" w:hAnsi="Times New Roman" w:cs="Times New Roman"/>
          <w:highlight w:val="none"/>
          <w:lang w:val="en-US" w:eastAsia="zh-CN"/>
        </w:rPr>
        <w:t>0%，公用经费支出</w:t>
      </w:r>
      <w:r>
        <w:rPr>
          <w:rFonts w:hint="eastAsia" w:cs="Times New Roman"/>
          <w:highlight w:val="none"/>
          <w:lang w:val="en-US" w:eastAsia="zh-CN"/>
        </w:rPr>
        <w:t>预算</w:t>
      </w:r>
      <w:r>
        <w:rPr>
          <w:rFonts w:hint="eastAsia" w:ascii="Times New Roman" w:hAnsi="Times New Roman" w:cs="Times New Roman"/>
          <w:highlight w:val="none"/>
          <w:lang w:val="en-US" w:eastAsia="zh-CN"/>
        </w:rPr>
        <w:t>控制</w:t>
      </w:r>
      <w:r>
        <w:rPr>
          <w:rFonts w:hint="eastAsia" w:cs="Times New Roman"/>
          <w:highlight w:val="none"/>
          <w:lang w:val="en-US" w:eastAsia="zh-CN"/>
        </w:rPr>
        <w:t>较差。</w:t>
      </w:r>
    </w:p>
    <w:p w14:paraId="3CD51810">
      <w:pPr>
        <w:pStyle w:val="4"/>
        <w:keepNext w:val="0"/>
        <w:keepLines w:val="0"/>
        <w:pageBreakBefore w:val="0"/>
        <w:widowControl w:val="0"/>
        <w:numPr>
          <w:ilvl w:val="-1"/>
          <w:numId w:val="0"/>
        </w:numPr>
        <w:kinsoku/>
        <w:wordWrap/>
        <w:overflowPunct/>
        <w:topLinePunct w:val="0"/>
        <w:autoSpaceDE/>
        <w:autoSpaceDN/>
        <w:bidi w:val="0"/>
        <w:adjustRightInd w:val="0"/>
        <w:spacing w:line="560" w:lineRule="exact"/>
        <w:ind w:left="0" w:leftChars="0" w:firstLine="643" w:firstLineChars="200"/>
        <w:textAlignment w:val="auto"/>
        <w:outlineLvl w:val="2"/>
        <w:rPr>
          <w:rFonts w:hint="eastAsia"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2.部分会计基础工作欠佳</w:t>
      </w:r>
    </w:p>
    <w:p w14:paraId="704068B1">
      <w:pPr>
        <w:pStyle w:val="4"/>
        <w:keepNext w:val="0"/>
        <w:keepLines w:val="0"/>
        <w:pageBreakBefore w:val="0"/>
        <w:wordWrap/>
        <w:overflowPunct/>
        <w:topLinePunct w:val="0"/>
        <w:bidi w:val="0"/>
        <w:adjustRightInd w:val="0"/>
        <w:spacing w:line="560" w:lineRule="exact"/>
        <w:rPr>
          <w:rFonts w:hint="default" w:ascii="Times New Roman" w:hAnsi="Times New Roman" w:cs="Times New Roman"/>
          <w:highlight w:val="none"/>
          <w:lang w:val="en-US" w:eastAsia="zh-CN"/>
        </w:rPr>
      </w:pPr>
      <w:r>
        <w:rPr>
          <w:rFonts w:hint="eastAsia" w:ascii="Times New Roman" w:hAnsi="Times New Roman" w:cs="Times New Roman"/>
          <w:highlight w:val="none"/>
          <w:lang w:val="en-US" w:eastAsia="zh-CN"/>
        </w:rPr>
        <w:t>经评价组核查，单位2021年会计凭证后附件原始资料存在未签字盖章单据、部分重要会议决议未附在凭证后面、未附发票清单等，涉及会计凭证有2021年2月第22号、2021年2月第25号、2021年4月第5号、2021年6月第16号、2021年7月第6号、2021年11月第46号、2021年12月第8号。</w:t>
      </w:r>
    </w:p>
    <w:p w14:paraId="79B2203A">
      <w:pPr>
        <w:pStyle w:val="4"/>
        <w:keepNext w:val="0"/>
        <w:keepLines w:val="0"/>
        <w:pageBreakBefore w:val="0"/>
        <w:widowControl w:val="0"/>
        <w:kinsoku/>
        <w:wordWrap/>
        <w:overflowPunct/>
        <w:topLinePunct w:val="0"/>
        <w:autoSpaceDE/>
        <w:autoSpaceDN/>
        <w:bidi w:val="0"/>
        <w:adjustRightInd w:val="0"/>
        <w:spacing w:line="560" w:lineRule="exact"/>
        <w:ind w:left="0" w:leftChars="0" w:firstLine="643" w:firstLineChars="200"/>
        <w:textAlignment w:val="auto"/>
        <w:outlineLvl w:val="1"/>
        <w:rPr>
          <w:rFonts w:hint="eastAsia" w:ascii="楷体" w:hAnsi="楷体" w:eastAsia="楷体" w:cs="楷体"/>
          <w:b/>
          <w:bCs/>
          <w:color w:val="auto"/>
          <w:lang w:val="en-US" w:eastAsia="zh-CN"/>
        </w:rPr>
      </w:pPr>
      <w:bookmarkStart w:id="556" w:name="_Toc28046"/>
      <w:bookmarkStart w:id="557" w:name="_Toc8679"/>
      <w:r>
        <w:rPr>
          <w:rFonts w:hint="eastAsia" w:ascii="楷体" w:hAnsi="楷体" w:eastAsia="楷体" w:cs="楷体"/>
          <w:b/>
          <w:bCs/>
          <w:color w:val="auto"/>
          <w:lang w:eastAsia="zh-CN"/>
        </w:rPr>
        <w:t>（</w:t>
      </w:r>
      <w:r>
        <w:rPr>
          <w:rFonts w:hint="eastAsia" w:ascii="楷体" w:hAnsi="楷体" w:eastAsia="楷体" w:cs="楷体"/>
          <w:b/>
          <w:bCs/>
          <w:color w:val="auto"/>
          <w:lang w:val="en-US" w:eastAsia="zh-CN"/>
        </w:rPr>
        <w:t>二</w:t>
      </w:r>
      <w:r>
        <w:rPr>
          <w:rFonts w:hint="eastAsia" w:ascii="楷体" w:hAnsi="楷体" w:eastAsia="楷体" w:cs="楷体"/>
          <w:b/>
          <w:bCs/>
          <w:color w:val="auto"/>
          <w:lang w:eastAsia="zh-CN"/>
        </w:rPr>
        <w:t>）</w:t>
      </w:r>
      <w:r>
        <w:rPr>
          <w:rFonts w:hint="eastAsia" w:ascii="楷体" w:hAnsi="楷体" w:eastAsia="楷体" w:cs="楷体"/>
          <w:b/>
          <w:bCs/>
          <w:color w:val="auto"/>
          <w:lang w:val="en-US" w:eastAsia="zh-CN"/>
        </w:rPr>
        <w:t>改进方向和具体措施</w:t>
      </w:r>
      <w:bookmarkEnd w:id="556"/>
      <w:bookmarkEnd w:id="557"/>
    </w:p>
    <w:p w14:paraId="24BCFACC">
      <w:pPr>
        <w:keepNext w:val="0"/>
        <w:keepLines w:val="0"/>
        <w:pageBreakBefore w:val="0"/>
        <w:kinsoku/>
        <w:wordWrap/>
        <w:overflowPunct/>
        <w:topLinePunct w:val="0"/>
        <w:autoSpaceDE/>
        <w:autoSpaceDN/>
        <w:bidi w:val="0"/>
        <w:adjustRightInd w:val="0"/>
        <w:snapToGrid/>
        <w:spacing w:line="560" w:lineRule="exact"/>
        <w:ind w:firstLine="643" w:firstLineChars="200"/>
        <w:outlineLvl w:val="2"/>
        <w:rPr>
          <w:rFonts w:hint="eastAsia" w:ascii="仿宋" w:hAnsi="仿宋" w:eastAsia="仿宋" w:cs="仿宋"/>
          <w:b/>
          <w:color w:val="auto"/>
          <w:sz w:val="32"/>
          <w:szCs w:val="32"/>
          <w:lang w:val="en-US" w:eastAsia="zh-CN"/>
        </w:rPr>
      </w:pPr>
      <w:r>
        <w:rPr>
          <w:rFonts w:hint="eastAsia" w:ascii="仿宋" w:hAnsi="仿宋" w:eastAsia="仿宋" w:cs="仿宋"/>
          <w:b/>
          <w:color w:val="auto"/>
          <w:sz w:val="32"/>
          <w:szCs w:val="32"/>
          <w:lang w:val="en-US" w:eastAsia="zh-CN"/>
        </w:rPr>
        <w:t>1.科学测算部门预算经费，加强部门经费收支偏差控制</w:t>
      </w:r>
    </w:p>
    <w:p w14:paraId="6D035BA6">
      <w:pPr>
        <w:pStyle w:val="4"/>
        <w:keepNext w:val="0"/>
        <w:keepLines w:val="0"/>
        <w:pageBreakBefore w:val="0"/>
        <w:widowControl w:val="0"/>
        <w:kinsoku/>
        <w:wordWrap/>
        <w:overflowPunct/>
        <w:topLinePunct w:val="0"/>
        <w:autoSpaceDE/>
        <w:autoSpaceDN/>
        <w:bidi w:val="0"/>
        <w:adjustRightInd w:val="0"/>
        <w:spacing w:line="560" w:lineRule="exact"/>
        <w:ind w:firstLine="640" w:firstLineChars="20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建议</w:t>
      </w:r>
      <w:r>
        <w:rPr>
          <w:rFonts w:hint="eastAsia" w:cs="Times New Roman"/>
          <w:color w:val="auto"/>
          <w:lang w:val="en-US" w:eastAsia="zh-CN"/>
        </w:rPr>
        <w:t>紫竹路幼儿园</w:t>
      </w:r>
      <w:r>
        <w:rPr>
          <w:rFonts w:hint="eastAsia" w:ascii="Times New Roman" w:hAnsi="Times New Roman" w:cs="Times New Roman"/>
          <w:color w:val="auto"/>
          <w:lang w:val="en-US" w:eastAsia="zh-CN"/>
        </w:rPr>
        <w:t>预算部门在下一年编制项目预算时，除参考上一年支出明细，应全面考虑编制的预算明细按，以免预算中子项目不发生支出或支出过高的情况，合理测算当年度资金的实际需要总额，切实提高财政预算编制合理性。</w:t>
      </w:r>
    </w:p>
    <w:p w14:paraId="0A0230E5">
      <w:pPr>
        <w:keepNext w:val="0"/>
        <w:keepLines w:val="0"/>
        <w:pageBreakBefore w:val="0"/>
        <w:kinsoku/>
        <w:wordWrap/>
        <w:overflowPunct/>
        <w:topLinePunct w:val="0"/>
        <w:autoSpaceDE/>
        <w:autoSpaceDN/>
        <w:bidi w:val="0"/>
        <w:adjustRightInd w:val="0"/>
        <w:snapToGrid/>
        <w:spacing w:line="560" w:lineRule="exact"/>
        <w:ind w:firstLine="643" w:firstLineChars="200"/>
        <w:outlineLvl w:val="2"/>
        <w:rPr>
          <w:rFonts w:hint="default" w:ascii="仿宋" w:hAnsi="仿宋" w:eastAsia="仿宋" w:cs="仿宋"/>
          <w:b/>
          <w:color w:val="auto"/>
          <w:sz w:val="32"/>
          <w:szCs w:val="32"/>
          <w:lang w:val="en-US" w:eastAsia="zh-CN"/>
        </w:rPr>
      </w:pPr>
      <w:r>
        <w:rPr>
          <w:rFonts w:hint="eastAsia" w:ascii="仿宋" w:hAnsi="仿宋" w:eastAsia="仿宋" w:cs="仿宋"/>
          <w:b/>
          <w:color w:val="auto"/>
          <w:sz w:val="32"/>
          <w:szCs w:val="32"/>
          <w:lang w:val="en-US" w:eastAsia="zh-CN"/>
        </w:rPr>
        <w:t>2.加强规范会计基础工作</w:t>
      </w:r>
    </w:p>
    <w:p w14:paraId="7A3D1AC6">
      <w:pPr>
        <w:pStyle w:val="4"/>
        <w:keepNext w:val="0"/>
        <w:keepLines w:val="0"/>
        <w:pageBreakBefore w:val="0"/>
        <w:widowControl w:val="0"/>
        <w:kinsoku/>
        <w:wordWrap/>
        <w:overflowPunct/>
        <w:topLinePunct w:val="0"/>
        <w:autoSpaceDE/>
        <w:autoSpaceDN/>
        <w:bidi w:val="0"/>
        <w:adjustRightInd w:val="0"/>
        <w:spacing w:line="560" w:lineRule="exact"/>
        <w:ind w:firstLine="640" w:firstLineChars="200"/>
        <w:textAlignment w:val="auto"/>
        <w:rPr>
          <w:rFonts w:hint="eastAsia"/>
          <w:color w:val="auto"/>
          <w:lang w:val="en-US" w:eastAsia="zh-CN"/>
        </w:rPr>
        <w:sectPr>
          <w:footerReference r:id="rId10" w:type="default"/>
          <w:pgSz w:w="11906" w:h="16838"/>
          <w:pgMar w:top="1440" w:right="1489" w:bottom="1440" w:left="1797" w:header="851" w:footer="992" w:gutter="0"/>
          <w:pgNumType w:fmt="decimal" w:start="1"/>
          <w:cols w:space="425" w:num="1"/>
          <w:docGrid w:type="lines" w:linePitch="312" w:charSpace="0"/>
        </w:sectPr>
      </w:pPr>
      <w:r>
        <w:rPr>
          <w:rFonts w:hint="eastAsia"/>
          <w:color w:val="auto"/>
        </w:rPr>
        <w:t>建议</w:t>
      </w:r>
      <w:r>
        <w:rPr>
          <w:rFonts w:hint="eastAsia"/>
          <w:color w:val="auto"/>
          <w:lang w:val="en-US" w:eastAsia="zh-CN"/>
        </w:rPr>
        <w:t>单位加强会计人员学习《会计基础工作规范》等各项规定；加强会计核算，如原始凭证的格式、内容、填制方法、审核程序等符合制度规定的要求；记账凭证内容、填制方法、所附原始凭证、更正错误的方法等符合会计制度要求，并经有关责任人员签章；</w:t>
      </w:r>
      <w:r>
        <w:rPr>
          <w:rFonts w:hint="eastAsia"/>
          <w:color w:val="auto"/>
          <w:lang w:val="en-US"/>
        </w:rPr>
        <w:t>加强对各项财务规章制度的执行力度，把各种财务规章制度落到实处，严格按照制度做好会计基础工作，可以建立必要的检查和奖励制度，对执行情况加以考核</w:t>
      </w:r>
      <w:r>
        <w:rPr>
          <w:rFonts w:hint="eastAsia"/>
          <w:color w:val="auto"/>
          <w:lang w:val="en-US" w:eastAsia="zh-CN"/>
        </w:rPr>
        <w:t>。</w:t>
      </w:r>
    </w:p>
    <w:p w14:paraId="6A6CFDAA">
      <w:pPr>
        <w:pStyle w:val="4"/>
        <w:pageBreakBefore w:val="0"/>
        <w:widowControl w:val="0"/>
        <w:numPr>
          <w:ilvl w:val="0"/>
          <w:numId w:val="0"/>
        </w:numPr>
        <w:kinsoku/>
        <w:wordWrap/>
        <w:overflowPunct/>
        <w:topLinePunct w:val="0"/>
        <w:autoSpaceDE/>
        <w:autoSpaceDN/>
        <w:bidi w:val="0"/>
        <w:spacing w:line="560" w:lineRule="exact"/>
        <w:ind w:firstLine="643" w:firstLineChars="200"/>
        <w:textAlignment w:val="auto"/>
        <w:outlineLvl w:val="0"/>
        <w:rPr>
          <w:rFonts w:hint="default" w:ascii="仿宋" w:hAnsi="仿宋" w:eastAsia="仿宋" w:cs="仿宋"/>
          <w:b/>
          <w:color w:val="auto"/>
          <w:kern w:val="2"/>
          <w:sz w:val="32"/>
          <w:szCs w:val="32"/>
          <w:lang w:val="en-US" w:eastAsia="zh-CN" w:bidi="ar-SA"/>
        </w:rPr>
      </w:pPr>
      <w:bookmarkStart w:id="558" w:name="_Toc8487"/>
      <w:bookmarkStart w:id="559" w:name="_Toc26574"/>
      <w:r>
        <w:rPr>
          <w:rFonts w:hint="eastAsia" w:ascii="仿宋" w:hAnsi="仿宋" w:eastAsia="仿宋" w:cs="仿宋"/>
          <w:b/>
          <w:color w:val="auto"/>
          <w:kern w:val="2"/>
          <w:sz w:val="32"/>
          <w:szCs w:val="32"/>
          <w:lang w:val="en-US" w:eastAsia="zh-CN" w:bidi="ar-SA"/>
        </w:rPr>
        <w:t>附件1</w:t>
      </w:r>
      <w:r>
        <w:rPr>
          <w:rFonts w:hint="default" w:ascii="方正小标宋_GBK" w:hAnsi="方正小标宋_GBK" w:eastAsia="方正小标宋_GBK" w:cs="方正小标宋_GBK"/>
          <w:i w:val="0"/>
          <w:iCs w:val="0"/>
          <w:color w:val="auto"/>
          <w:kern w:val="0"/>
          <w:sz w:val="32"/>
          <w:szCs w:val="32"/>
          <w:u w:val="none"/>
          <w:lang w:val="en-US" w:eastAsia="zh-CN" w:bidi="ar"/>
        </w:rPr>
        <w:t>部门整体支出绩效评价指标体系</w:t>
      </w:r>
      <w:bookmarkEnd w:id="558"/>
      <w:bookmarkEnd w:id="559"/>
    </w:p>
    <w:tbl>
      <w:tblPr>
        <w:tblStyle w:val="10"/>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96"/>
        <w:gridCol w:w="696"/>
        <w:gridCol w:w="457"/>
        <w:gridCol w:w="457"/>
        <w:gridCol w:w="1807"/>
        <w:gridCol w:w="2467"/>
        <w:gridCol w:w="576"/>
        <w:gridCol w:w="696"/>
        <w:gridCol w:w="696"/>
        <w:gridCol w:w="5617"/>
      </w:tblGrid>
      <w:tr w14:paraId="09238E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blHeader/>
        </w:trPr>
        <w:tc>
          <w:tcPr>
            <w:tcW w:w="65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F081905">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绩效指标</w:t>
            </w:r>
          </w:p>
        </w:tc>
        <w:tc>
          <w:tcPr>
            <w:tcW w:w="16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5FD6F1">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指标分值</w:t>
            </w:r>
          </w:p>
        </w:tc>
        <w:tc>
          <w:tcPr>
            <w:tcW w:w="63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13FFC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指标解释</w:t>
            </w:r>
          </w:p>
        </w:tc>
        <w:tc>
          <w:tcPr>
            <w:tcW w:w="869" w:type="pct"/>
            <w:vMerge w:val="restart"/>
            <w:tcBorders>
              <w:top w:val="single" w:color="000000" w:sz="4" w:space="0"/>
              <w:left w:val="nil"/>
              <w:bottom w:val="single" w:color="000000" w:sz="4" w:space="0"/>
              <w:right w:val="single" w:color="000000" w:sz="4" w:space="0"/>
            </w:tcBorders>
            <w:shd w:val="clear" w:color="auto" w:fill="auto"/>
            <w:vAlign w:val="center"/>
          </w:tcPr>
          <w:p w14:paraId="2E3A6567">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计分标准</w:t>
            </w:r>
          </w:p>
        </w:tc>
        <w:tc>
          <w:tcPr>
            <w:tcW w:w="20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C4613E">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分值</w:t>
            </w:r>
          </w:p>
        </w:tc>
        <w:tc>
          <w:tcPr>
            <w:tcW w:w="2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899207">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得分</w:t>
            </w:r>
          </w:p>
        </w:tc>
        <w:tc>
          <w:tcPr>
            <w:tcW w:w="2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B8C87A">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扣分</w:t>
            </w:r>
          </w:p>
        </w:tc>
        <w:tc>
          <w:tcPr>
            <w:tcW w:w="198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5A60FE">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扣分说明</w:t>
            </w:r>
          </w:p>
        </w:tc>
      </w:tr>
      <w:tr w14:paraId="029FAA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blHeader/>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3845D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一级指标</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4A7DCA">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二级指标</w:t>
            </w: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146BE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三级指标</w:t>
            </w:r>
          </w:p>
        </w:tc>
        <w:tc>
          <w:tcPr>
            <w:tcW w:w="16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51EC77">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6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E6534A">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869" w:type="pct"/>
            <w:vMerge w:val="continue"/>
            <w:tcBorders>
              <w:top w:val="single" w:color="000000" w:sz="4" w:space="0"/>
              <w:left w:val="nil"/>
              <w:bottom w:val="single" w:color="000000" w:sz="4" w:space="0"/>
              <w:right w:val="single" w:color="000000" w:sz="4" w:space="0"/>
            </w:tcBorders>
            <w:shd w:val="clear" w:color="auto" w:fill="auto"/>
            <w:vAlign w:val="center"/>
          </w:tcPr>
          <w:p w14:paraId="3D4F3DA6">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2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04E51D">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2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912CCE">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2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981FD1">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19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1B0B4C">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r>
      <w:tr w14:paraId="51F831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5" w:hRule="atLeast"/>
        </w:trPr>
        <w:tc>
          <w:tcPr>
            <w:tcW w:w="2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5BF1B4">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部门预算管理（80分）</w:t>
            </w:r>
          </w:p>
        </w:tc>
        <w:tc>
          <w:tcPr>
            <w:tcW w:w="2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FEF827">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预算编制（30分）</w:t>
            </w: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15CA08">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目标制定</w:t>
            </w: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C59177">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2905C3">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评价部门绩效目标是否要素完整、细化量化。</w:t>
            </w:r>
          </w:p>
        </w:tc>
        <w:tc>
          <w:tcPr>
            <w:tcW w:w="8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317AFE">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1.绩效目标编制要素完整的，得5分，否则酌情扣分。                                                       2.绩效指标细化量化的，得5分，否则酌情扣分。                  有项目绩效目标的部门（单位），根据项目绩效目标编制质量打分，无项目绩效目标的部门，根据部门整体支出绩效目标打分。                                                                    </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57CB6B">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6B2F9B">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8CFC5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9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981933">
            <w:pPr>
              <w:pageBreakBefore w:val="0"/>
              <w:wordWrap/>
              <w:overflowPunct/>
              <w:topLinePunct w:val="0"/>
              <w:bidi w:val="0"/>
              <w:spacing w:line="560" w:lineRule="exact"/>
              <w:rPr>
                <w:rFonts w:hint="eastAsia" w:ascii="宋体" w:hAnsi="宋体" w:eastAsia="宋体" w:cs="宋体"/>
                <w:i w:val="0"/>
                <w:iCs w:val="0"/>
                <w:color w:val="000000"/>
                <w:sz w:val="24"/>
                <w:szCs w:val="24"/>
                <w:u w:val="none"/>
              </w:rPr>
            </w:pPr>
          </w:p>
        </w:tc>
      </w:tr>
      <w:tr w14:paraId="52D7DF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5" w:hRule="atLeast"/>
        </w:trPr>
        <w:tc>
          <w:tcPr>
            <w:tcW w:w="2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0023FA">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2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FE1B10">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A4EE15">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目标实现</w:t>
            </w: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471BD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9127A1">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评价部门绩效目标实际实现程度与预期目标的偏离度。</w:t>
            </w:r>
          </w:p>
        </w:tc>
        <w:tc>
          <w:tcPr>
            <w:tcW w:w="8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F2E4E4">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以项目完成数量为核心，评价项目实际完成情况与预期绩效目标偏离度，单个数量指标实际完成未达到预期指标或超过预期指标30%以上的，均不计分。该项指标得分=达到预期值的数量指标个数/全部数量指标个数（即评价选取的项目绩效目标包含的所有数量指标）</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7B2B3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620A0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9330F6">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9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CC4462">
            <w:pPr>
              <w:pageBreakBefore w:val="0"/>
              <w:wordWrap/>
              <w:overflowPunct/>
              <w:topLinePunct w:val="0"/>
              <w:bidi w:val="0"/>
              <w:spacing w:line="560" w:lineRule="exact"/>
              <w:rPr>
                <w:rFonts w:hint="eastAsia" w:ascii="宋体" w:hAnsi="宋体" w:eastAsia="宋体" w:cs="宋体"/>
                <w:i w:val="0"/>
                <w:iCs w:val="0"/>
                <w:color w:val="000000"/>
                <w:sz w:val="24"/>
                <w:szCs w:val="24"/>
                <w:u w:val="none"/>
              </w:rPr>
            </w:pPr>
          </w:p>
        </w:tc>
      </w:tr>
      <w:tr w14:paraId="2B5F44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trPr>
        <w:tc>
          <w:tcPr>
            <w:tcW w:w="2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B307C9">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2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C87E0D">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2E6407">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编制准确</w:t>
            </w: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B927F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A732B6">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评价部门年初预算编制是否科学准确。</w:t>
            </w:r>
          </w:p>
        </w:tc>
        <w:tc>
          <w:tcPr>
            <w:tcW w:w="8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CEA120">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指标得分=（1-（10×部门全年预算调剂金额/年初部门预算数））*指标分值。其中：若部门全年预算调剂金额/年初部门预算数&gt;0.1，此项得0分。</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43CE75">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DD571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9B04F7">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9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1E53C8">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部门全年预算调剂金额1686196.33元/年初部门预算数2570967.88元=0.65&gt;0.1，扣10分</w:t>
            </w:r>
          </w:p>
        </w:tc>
      </w:tr>
      <w:tr w14:paraId="11219A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59" w:hRule="atLeast"/>
        </w:trPr>
        <w:tc>
          <w:tcPr>
            <w:tcW w:w="2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C0A187">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2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1BE21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预算执行（30分）</w:t>
            </w: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E925CB">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支出控制</w:t>
            </w: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0817F2">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127042">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部门公用经费及非定额公用支出控制情况。</w:t>
            </w:r>
          </w:p>
        </w:tc>
        <w:tc>
          <w:tcPr>
            <w:tcW w:w="8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2CD47F">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计算部门日常公用经费、项目支出中“办公费、印刷费、水费、电费、物业管理费”等科目年初预算数与决算数偏差程度                                                              预决算偏差程度在10%以内的，得10分。偏差度在10%-20%之间的，得5分，偏差度超过20%的，不得分。</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F9E8F1">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4DD727">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D1E4B8">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9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03A7D6">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（日常公用经费年初预算817992.08元-决算数551823.31元）817992.08元=32.54%，偏差度超过20%，该项不得分，扣10分。</w:t>
            </w:r>
          </w:p>
        </w:tc>
      </w:tr>
      <w:tr w14:paraId="0AB571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trPr>
        <w:tc>
          <w:tcPr>
            <w:tcW w:w="2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614B98">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2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0C2FAA">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657BF8">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动态调整</w:t>
            </w: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7A1A00">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D98DBF">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评价部门开展绩效运行监控后，将绩效监控结果应用到预算调整的情况。</w:t>
            </w:r>
          </w:p>
        </w:tc>
        <w:tc>
          <w:tcPr>
            <w:tcW w:w="8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8238C6">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1.当部门绩效监控调整取消额和结余注销额均不为零时，指标得分=部门项目支出绩效监控调整取消额÷(部门绩效监控调整取消额+预算结余注销额）*10                                                  2.当部门绩效监控调整取消额为零，结余注销额不为零时，指标得分=（1-10*结余注销额/年度预算总额）*10，结余注销额超过部门年度预算总额10%的，指标不得分。                  3.当部门绩效监控调整取消额与结余注销额均为零时，得满分。                                                             </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36B381">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77C402">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3F086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9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CD637B">
            <w:pPr>
              <w:pageBreakBefore w:val="0"/>
              <w:wordWrap/>
              <w:overflowPunct/>
              <w:topLinePunct w:val="0"/>
              <w:bidi w:val="0"/>
              <w:spacing w:line="560" w:lineRule="exact"/>
              <w:rPr>
                <w:rFonts w:hint="eastAsia" w:ascii="宋体" w:hAnsi="宋体" w:eastAsia="宋体" w:cs="宋体"/>
                <w:i w:val="0"/>
                <w:iCs w:val="0"/>
                <w:color w:val="000000"/>
                <w:sz w:val="24"/>
                <w:szCs w:val="24"/>
                <w:u w:val="none"/>
              </w:rPr>
            </w:pPr>
          </w:p>
        </w:tc>
      </w:tr>
      <w:tr w14:paraId="773A97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20" w:hRule="atLeast"/>
        </w:trPr>
        <w:tc>
          <w:tcPr>
            <w:tcW w:w="2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3529B1">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2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4ED8C8">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C5514E">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执行进度</w:t>
            </w: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C1E910">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97373A">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评价部门在6、9、11月的预算执行情况。</w:t>
            </w:r>
          </w:p>
        </w:tc>
        <w:tc>
          <w:tcPr>
            <w:tcW w:w="8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92DF17">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部门预算执行进度在6、9、11月应达到序时进度的80%、90%、90%，即实际支出进度分别达到40%、67.5%、82.5%。                                                     6、9、11月部门预算执行进度达到量化指标的分别得3、4、3分，未达到目标进度的按其实际进度占目标进度的比重计算得分。                                             </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B719B1">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021A5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9.38</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5EFDA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0.62</w:t>
            </w:r>
          </w:p>
        </w:tc>
        <w:tc>
          <w:tcPr>
            <w:tcW w:w="19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C89989">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1-6月进度扣分=(0.4-1298401.73/3414751.21)/0.4*3=0.15分、1-9月进度扣分=((0.675-2083804.61/3414751.21)/0.675)*4=0.38分、1-11月进度扣分=((0.825-2734027.57/3414751.21)/0.825)*3=0.09分、合计扣分0.62分。</w:t>
            </w:r>
          </w:p>
        </w:tc>
      </w:tr>
      <w:tr w14:paraId="20F57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2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0D3C1F">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2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2F1B6E">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完成结果（20分）</w:t>
            </w: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35270E">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预算完成</w:t>
            </w: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7BB3A7">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27C00A">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评价部门预算项目年终预算执行情况。</w:t>
            </w:r>
          </w:p>
        </w:tc>
        <w:tc>
          <w:tcPr>
            <w:tcW w:w="8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AF6B0A">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部门预算项目12月预算执行进度达到100%的，得10分，未达100%的，按照实际进度量化计算得分。</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8140A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294C0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8.02</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739527">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1.98</w:t>
            </w:r>
          </w:p>
        </w:tc>
        <w:tc>
          <w:tcPr>
            <w:tcW w:w="19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A67D12">
            <w:pPr>
              <w:keepNext w:val="0"/>
              <w:keepLines w:val="0"/>
              <w:pageBreakBefore w:val="0"/>
              <w:widowControl/>
              <w:suppressLineNumbers w:val="0"/>
              <w:wordWrap/>
              <w:overflowPunct/>
              <w:topLinePunct w:val="0"/>
              <w:bidi w:val="0"/>
              <w:spacing w:line="560" w:lineRule="exact"/>
              <w:jc w:val="left"/>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扣分=支付决算数3414751.21元/预算调整数4257164.21元=80.21%*10分=1.98分</w:t>
            </w:r>
          </w:p>
        </w:tc>
      </w:tr>
      <w:tr w14:paraId="5F6F36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2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FE31BB">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2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C2D180">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5B3561">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违规记录</w:t>
            </w: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22E5C4">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380B9E">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根据审计监督、财政检查结果反映部门上一年度部门预算管理是否合规。</w:t>
            </w:r>
          </w:p>
        </w:tc>
        <w:tc>
          <w:tcPr>
            <w:tcW w:w="8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08D79F">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依据评价年度审计监督、财政检查结果，出现部门预算管理方面违纪违规问题的，每个问题扣0.5分，直至扣完。</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69A73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6865F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20A7A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9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979E50">
            <w:pPr>
              <w:pageBreakBefore w:val="0"/>
              <w:wordWrap/>
              <w:overflowPunct/>
              <w:topLinePunct w:val="0"/>
              <w:bidi w:val="0"/>
              <w:spacing w:line="560" w:lineRule="exact"/>
              <w:jc w:val="left"/>
              <w:rPr>
                <w:rFonts w:hint="eastAsia" w:ascii="宋体" w:hAnsi="宋体" w:eastAsia="宋体" w:cs="宋体"/>
                <w:i w:val="0"/>
                <w:iCs w:val="0"/>
                <w:color w:val="000000"/>
                <w:sz w:val="24"/>
                <w:szCs w:val="24"/>
                <w:u w:val="none"/>
              </w:rPr>
            </w:pPr>
          </w:p>
        </w:tc>
      </w:tr>
      <w:tr w14:paraId="6313A7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0" w:hRule="atLeast"/>
        </w:trPr>
        <w:tc>
          <w:tcPr>
            <w:tcW w:w="2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A38AB2">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绩效结果应用（10分）</w:t>
            </w:r>
          </w:p>
        </w:tc>
        <w:tc>
          <w:tcPr>
            <w:tcW w:w="245" w:type="pct"/>
            <w:tcBorders>
              <w:top w:val="nil"/>
              <w:left w:val="single" w:color="000000" w:sz="4" w:space="0"/>
              <w:bottom w:val="single" w:color="000000" w:sz="4" w:space="0"/>
              <w:right w:val="single" w:color="000000" w:sz="4" w:space="0"/>
            </w:tcBorders>
            <w:shd w:val="clear" w:color="auto" w:fill="auto"/>
            <w:vAlign w:val="center"/>
          </w:tcPr>
          <w:p w14:paraId="0B531F8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信息公开（2分）</w:t>
            </w: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9A010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自评公开</w:t>
            </w: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718120">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75C58E">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评价部门是否按要求将部门整体绩效自评情况和自行组织的评价情况向社会公开。</w:t>
            </w:r>
          </w:p>
        </w:tc>
        <w:tc>
          <w:tcPr>
            <w:tcW w:w="8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E91DF0">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按要求将相关绩效信息随同决算公开的，得2分，否则不得分。</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B6E891">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05F71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7EB6A7">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9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AA9D10">
            <w:pPr>
              <w:pageBreakBefore w:val="0"/>
              <w:wordWrap/>
              <w:overflowPunct/>
              <w:topLinePunct w:val="0"/>
              <w:bidi w:val="0"/>
              <w:spacing w:line="560" w:lineRule="exact"/>
              <w:rPr>
                <w:rFonts w:hint="eastAsia" w:ascii="宋体" w:hAnsi="宋体" w:eastAsia="宋体" w:cs="宋体"/>
                <w:i w:val="0"/>
                <w:iCs w:val="0"/>
                <w:color w:val="000000"/>
                <w:sz w:val="24"/>
                <w:szCs w:val="24"/>
                <w:u w:val="none"/>
              </w:rPr>
            </w:pPr>
          </w:p>
        </w:tc>
      </w:tr>
      <w:tr w14:paraId="11AE87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0" w:hRule="atLeast"/>
        </w:trPr>
        <w:tc>
          <w:tcPr>
            <w:tcW w:w="2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685D4F">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2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3957B7">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整改反馈（8分）</w:t>
            </w: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1B6C14">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结果整改</w:t>
            </w: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E04B24">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D283FD">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评价部门根据绩效管理结果整改问题、完善政策、改进管理的情况。</w:t>
            </w:r>
          </w:p>
        </w:tc>
        <w:tc>
          <w:tcPr>
            <w:tcW w:w="8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8F005E">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针对绩效管理过程中（包括绩效目标核查、绩效监控核查和重点绩效评价）提出的问题进行整改，将绩效管理结果应用于完善政策、改进管理、预算挂钩等的，得4分。否则，酌情扣分。</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0BBEC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1DFA6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77EF80">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9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8282FB">
            <w:pPr>
              <w:pageBreakBefore w:val="0"/>
              <w:wordWrap/>
              <w:overflowPunct/>
              <w:topLinePunct w:val="0"/>
              <w:bidi w:val="0"/>
              <w:spacing w:line="560" w:lineRule="exact"/>
              <w:rPr>
                <w:rFonts w:hint="eastAsia" w:ascii="宋体" w:hAnsi="宋体" w:eastAsia="宋体" w:cs="宋体"/>
                <w:i w:val="0"/>
                <w:iCs w:val="0"/>
                <w:color w:val="000000"/>
                <w:sz w:val="24"/>
                <w:szCs w:val="24"/>
                <w:u w:val="none"/>
              </w:rPr>
            </w:pPr>
          </w:p>
        </w:tc>
      </w:tr>
      <w:tr w14:paraId="020753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0" w:hRule="atLeast"/>
        </w:trPr>
        <w:tc>
          <w:tcPr>
            <w:tcW w:w="2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633D64">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2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8E36E7">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53300A">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应用反馈</w:t>
            </w: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1E7676">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492566">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评价部门按要求及时向财政部门反馈结果应用情况。</w:t>
            </w:r>
          </w:p>
        </w:tc>
        <w:tc>
          <w:tcPr>
            <w:tcW w:w="8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5930AB">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部门在规定时间内向财政部门反馈应用绩效结果报告的，得满分，否则不得分。</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4F239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03A7AA">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7A6768">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9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4F9189">
            <w:pPr>
              <w:pageBreakBefore w:val="0"/>
              <w:wordWrap/>
              <w:overflowPunct/>
              <w:topLinePunct w:val="0"/>
              <w:bidi w:val="0"/>
              <w:spacing w:line="560" w:lineRule="exact"/>
              <w:jc w:val="left"/>
              <w:rPr>
                <w:rFonts w:hint="eastAsia" w:ascii="宋体" w:hAnsi="宋体" w:eastAsia="宋体" w:cs="宋体"/>
                <w:i w:val="0"/>
                <w:iCs w:val="0"/>
                <w:color w:val="000000"/>
                <w:sz w:val="24"/>
                <w:szCs w:val="24"/>
                <w:u w:val="none"/>
              </w:rPr>
            </w:pPr>
          </w:p>
        </w:tc>
      </w:tr>
      <w:tr w14:paraId="49EB6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5"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DD9699">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自评质量（10分）</w:t>
            </w:r>
          </w:p>
        </w:tc>
        <w:tc>
          <w:tcPr>
            <w:tcW w:w="245" w:type="pct"/>
            <w:tcBorders>
              <w:top w:val="nil"/>
              <w:left w:val="single" w:color="000000" w:sz="4" w:space="0"/>
              <w:bottom w:val="single" w:color="000000" w:sz="4" w:space="0"/>
              <w:right w:val="single" w:color="000000" w:sz="4" w:space="0"/>
            </w:tcBorders>
            <w:shd w:val="clear" w:color="auto" w:fill="auto"/>
            <w:vAlign w:val="center"/>
          </w:tcPr>
          <w:p w14:paraId="2414C7D5">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自评质量（10分）</w:t>
            </w:r>
          </w:p>
        </w:tc>
        <w:tc>
          <w:tcPr>
            <w:tcW w:w="161" w:type="pct"/>
            <w:tcBorders>
              <w:top w:val="nil"/>
              <w:left w:val="single" w:color="000000" w:sz="4" w:space="0"/>
              <w:bottom w:val="single" w:color="000000" w:sz="4" w:space="0"/>
              <w:right w:val="single" w:color="000000" w:sz="4" w:space="0"/>
            </w:tcBorders>
            <w:shd w:val="clear" w:color="auto" w:fill="auto"/>
            <w:vAlign w:val="center"/>
          </w:tcPr>
          <w:p w14:paraId="5B8089A4">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自评准确</w:t>
            </w:r>
          </w:p>
        </w:tc>
        <w:tc>
          <w:tcPr>
            <w:tcW w:w="161" w:type="pct"/>
            <w:tcBorders>
              <w:top w:val="nil"/>
              <w:left w:val="single" w:color="000000" w:sz="4" w:space="0"/>
              <w:bottom w:val="single" w:color="000000" w:sz="4" w:space="0"/>
              <w:right w:val="single" w:color="000000" w:sz="4" w:space="0"/>
            </w:tcBorders>
            <w:shd w:val="clear" w:color="auto" w:fill="auto"/>
            <w:vAlign w:val="center"/>
          </w:tcPr>
          <w:p w14:paraId="4D958014">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8" w:type="pct"/>
            <w:tcBorders>
              <w:top w:val="nil"/>
              <w:left w:val="single" w:color="000000" w:sz="4" w:space="0"/>
              <w:bottom w:val="single" w:color="000000" w:sz="4" w:space="0"/>
              <w:right w:val="single" w:color="000000" w:sz="4" w:space="0"/>
            </w:tcBorders>
            <w:shd w:val="clear" w:color="auto" w:fill="auto"/>
            <w:vAlign w:val="center"/>
          </w:tcPr>
          <w:p w14:paraId="3965EDBF">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评价部门整体支出自评准确率。</w:t>
            </w:r>
          </w:p>
        </w:tc>
        <w:tc>
          <w:tcPr>
            <w:tcW w:w="869" w:type="pct"/>
            <w:tcBorders>
              <w:top w:val="nil"/>
              <w:left w:val="single" w:color="000000" w:sz="4" w:space="0"/>
              <w:bottom w:val="single" w:color="000000" w:sz="4" w:space="0"/>
              <w:right w:val="single" w:color="000000" w:sz="4" w:space="0"/>
            </w:tcBorders>
            <w:shd w:val="clear" w:color="auto" w:fill="auto"/>
            <w:vAlign w:val="center"/>
          </w:tcPr>
          <w:p w14:paraId="6522040D">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部门整体支出自评得分与评价组抽查得分差异在5%以内的，不扣分；在5%-10%之间的，扣4分，在10%-20%的，扣8分，在20%以上的，扣10分。（部门在自评时，此项指标无需打分，部门自评满分为90分）</w:t>
            </w:r>
          </w:p>
        </w:tc>
        <w:tc>
          <w:tcPr>
            <w:tcW w:w="203" w:type="pct"/>
            <w:tcBorders>
              <w:top w:val="nil"/>
              <w:left w:val="single" w:color="000000" w:sz="4" w:space="0"/>
              <w:bottom w:val="single" w:color="000000" w:sz="4" w:space="0"/>
              <w:right w:val="single" w:color="000000" w:sz="4" w:space="0"/>
            </w:tcBorders>
            <w:shd w:val="clear" w:color="auto" w:fill="auto"/>
            <w:vAlign w:val="center"/>
          </w:tcPr>
          <w:p w14:paraId="0AB6186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245" w:type="pct"/>
            <w:tcBorders>
              <w:top w:val="nil"/>
              <w:left w:val="single" w:color="000000" w:sz="4" w:space="0"/>
              <w:bottom w:val="single" w:color="000000" w:sz="4" w:space="0"/>
              <w:right w:val="single" w:color="000000" w:sz="4" w:space="0"/>
            </w:tcBorders>
            <w:shd w:val="clear" w:color="auto" w:fill="auto"/>
            <w:vAlign w:val="center"/>
          </w:tcPr>
          <w:p w14:paraId="7E5B5CA8">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245" w:type="pct"/>
            <w:tcBorders>
              <w:top w:val="nil"/>
              <w:left w:val="single" w:color="000000" w:sz="4" w:space="0"/>
              <w:bottom w:val="single" w:color="000000" w:sz="4" w:space="0"/>
              <w:right w:val="single" w:color="000000" w:sz="4" w:space="0"/>
            </w:tcBorders>
            <w:shd w:val="clear" w:color="auto" w:fill="auto"/>
            <w:vAlign w:val="center"/>
          </w:tcPr>
          <w:p w14:paraId="06A8D10B">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982" w:type="pct"/>
            <w:tcBorders>
              <w:top w:val="nil"/>
              <w:left w:val="single" w:color="000000" w:sz="4" w:space="0"/>
              <w:bottom w:val="single" w:color="000000" w:sz="4" w:space="0"/>
              <w:right w:val="single" w:color="000000" w:sz="4" w:space="0"/>
            </w:tcBorders>
            <w:shd w:val="clear" w:color="auto" w:fill="auto"/>
            <w:vAlign w:val="center"/>
          </w:tcPr>
          <w:p w14:paraId="5DB8A335">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p>
        </w:tc>
      </w:tr>
      <w:tr w14:paraId="2522E5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2322"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ED6E8C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合计：</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66806E">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13C7B5">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77.4</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7B972A">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22.6</w:t>
            </w:r>
          </w:p>
        </w:tc>
        <w:tc>
          <w:tcPr>
            <w:tcW w:w="19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75A14C">
            <w:pPr>
              <w:pageBreakBefore w:val="0"/>
              <w:wordWrap/>
              <w:overflowPunct/>
              <w:topLinePunct w:val="0"/>
              <w:bidi w:val="0"/>
              <w:spacing w:line="560" w:lineRule="exact"/>
              <w:rPr>
                <w:rFonts w:hint="eastAsia" w:ascii="宋体" w:hAnsi="宋体" w:eastAsia="宋体" w:cs="宋体"/>
                <w:i w:val="0"/>
                <w:iCs w:val="0"/>
                <w:color w:val="000000"/>
                <w:sz w:val="16"/>
                <w:szCs w:val="16"/>
                <w:u w:val="none"/>
              </w:rPr>
            </w:pPr>
          </w:p>
        </w:tc>
      </w:tr>
    </w:tbl>
    <w:p w14:paraId="220D60DE">
      <w:pPr>
        <w:pageBreakBefore w:val="0"/>
        <w:wordWrap/>
        <w:overflowPunct/>
        <w:topLinePunct w:val="0"/>
        <w:bidi w:val="0"/>
        <w:spacing w:line="560" w:lineRule="exact"/>
        <w:rPr>
          <w:rFonts w:hint="eastAsia" w:eastAsia="仿宋_GB2312"/>
          <w:color w:val="auto"/>
          <w:lang w:val="en-US" w:eastAsia="zh-CN"/>
        </w:rPr>
      </w:pPr>
    </w:p>
    <w:p w14:paraId="7C0C0BCE">
      <w:pPr>
        <w:pStyle w:val="4"/>
        <w:keepNext w:val="0"/>
        <w:keepLines w:val="0"/>
        <w:pageBreakBefore w:val="0"/>
        <w:widowControl w:val="0"/>
        <w:kinsoku/>
        <w:wordWrap/>
        <w:overflowPunct/>
        <w:topLinePunct w:val="0"/>
        <w:autoSpaceDE/>
        <w:autoSpaceDN/>
        <w:bidi w:val="0"/>
        <w:adjustRightInd w:val="0"/>
        <w:spacing w:line="560" w:lineRule="exact"/>
        <w:ind w:firstLine="640" w:firstLineChars="200"/>
        <w:textAlignment w:val="auto"/>
        <w:rPr>
          <w:rFonts w:hint="default"/>
          <w:color w:val="auto"/>
          <w:lang w:val="en-US" w:eastAsia="zh-CN"/>
        </w:rPr>
        <w:sectPr>
          <w:pgSz w:w="16838" w:h="11906" w:orient="landscape"/>
          <w:pgMar w:top="1797" w:right="1440" w:bottom="1489" w:left="1440" w:header="851" w:footer="992" w:gutter="0"/>
          <w:pgNumType w:fmt="decimal" w:start="1"/>
          <w:cols w:space="425" w:num="1"/>
          <w:docGrid w:type="lines" w:linePitch="312" w:charSpace="0"/>
        </w:sectPr>
      </w:pPr>
    </w:p>
    <w:p w14:paraId="1C156EAA">
      <w:pPr>
        <w:keepNext w:val="0"/>
        <w:keepLines w:val="0"/>
        <w:pageBreakBefore w:val="0"/>
        <w:widowControl/>
        <w:kinsoku/>
        <w:wordWrap/>
        <w:overflowPunct/>
        <w:topLinePunct w:val="0"/>
        <w:autoSpaceDE/>
        <w:autoSpaceDN/>
        <w:bidi w:val="0"/>
        <w:adjustRightInd w:val="0"/>
        <w:snapToGrid w:val="0"/>
        <w:spacing w:line="560" w:lineRule="exact"/>
        <w:ind w:firstLine="0" w:firstLineChars="0"/>
        <w:jc w:val="center"/>
        <w:textAlignment w:val="auto"/>
        <w:outlineLvl w:val="0"/>
        <w:rPr>
          <w:rFonts w:ascii="Times New Roman" w:hAnsi="Times New Roman" w:eastAsia="小标宋" w:cs="Times New Roman"/>
          <w:b/>
          <w:color w:val="auto"/>
          <w:sz w:val="44"/>
          <w:szCs w:val="44"/>
        </w:rPr>
      </w:pPr>
    </w:p>
    <w:p w14:paraId="531F2FBA">
      <w:pPr>
        <w:keepNext w:val="0"/>
        <w:keepLines w:val="0"/>
        <w:pageBreakBefore w:val="0"/>
        <w:widowControl/>
        <w:kinsoku/>
        <w:wordWrap/>
        <w:overflowPunct/>
        <w:topLinePunct w:val="0"/>
        <w:autoSpaceDE/>
        <w:autoSpaceDN/>
        <w:bidi w:val="0"/>
        <w:adjustRightInd w:val="0"/>
        <w:snapToGrid w:val="0"/>
        <w:spacing w:line="560" w:lineRule="exact"/>
        <w:ind w:firstLine="0" w:firstLineChars="0"/>
        <w:jc w:val="center"/>
        <w:textAlignment w:val="auto"/>
        <w:outlineLvl w:val="0"/>
        <w:rPr>
          <w:rFonts w:ascii="Times New Roman" w:hAnsi="Times New Roman" w:eastAsia="小标宋" w:cs="Times New Roman"/>
          <w:b/>
          <w:color w:val="auto"/>
          <w:sz w:val="44"/>
          <w:szCs w:val="44"/>
        </w:rPr>
      </w:pPr>
    </w:p>
    <w:p w14:paraId="596824F0">
      <w:pPr>
        <w:keepNext w:val="0"/>
        <w:keepLines w:val="0"/>
        <w:pageBreakBefore w:val="0"/>
        <w:widowControl/>
        <w:kinsoku/>
        <w:wordWrap/>
        <w:overflowPunct/>
        <w:topLinePunct w:val="0"/>
        <w:autoSpaceDE/>
        <w:autoSpaceDN/>
        <w:bidi w:val="0"/>
        <w:adjustRightInd w:val="0"/>
        <w:snapToGrid w:val="0"/>
        <w:spacing w:line="560" w:lineRule="exact"/>
        <w:ind w:firstLine="0" w:firstLineChars="0"/>
        <w:jc w:val="center"/>
        <w:textAlignment w:val="auto"/>
        <w:outlineLvl w:val="0"/>
        <w:rPr>
          <w:rFonts w:hint="eastAsia" w:ascii="Times New Roman" w:hAnsi="Times New Roman" w:eastAsia="小标宋" w:cs="Times New Roman"/>
          <w:b/>
          <w:color w:val="auto"/>
          <w:sz w:val="44"/>
          <w:szCs w:val="44"/>
          <w:lang w:val="en-US" w:eastAsia="zh-CN"/>
        </w:rPr>
      </w:pPr>
      <w:r>
        <w:rPr>
          <w:rFonts w:ascii="Times New Roman" w:hAnsi="Times New Roman" w:eastAsia="小标宋" w:cs="Times New Roman"/>
          <w:b/>
          <w:color w:val="auto"/>
          <w:sz w:val="44"/>
          <w:szCs w:val="44"/>
        </w:rPr>
        <w:t>20</w:t>
      </w:r>
      <w:r>
        <w:rPr>
          <w:rFonts w:hint="eastAsia" w:ascii="Times New Roman" w:hAnsi="Times New Roman" w:eastAsia="小标宋" w:cs="Times New Roman"/>
          <w:b/>
          <w:color w:val="auto"/>
          <w:sz w:val="44"/>
          <w:szCs w:val="44"/>
          <w:lang w:val="en-US" w:eastAsia="zh-CN"/>
        </w:rPr>
        <w:t>21</w:t>
      </w:r>
      <w:r>
        <w:rPr>
          <w:rFonts w:ascii="Times New Roman" w:hAnsi="Times New Roman" w:eastAsia="小标宋" w:cs="Times New Roman"/>
          <w:b/>
          <w:color w:val="auto"/>
          <w:sz w:val="44"/>
          <w:szCs w:val="44"/>
        </w:rPr>
        <w:t>年</w:t>
      </w:r>
      <w:r>
        <w:rPr>
          <w:rFonts w:hint="eastAsia" w:ascii="Times New Roman" w:hAnsi="Times New Roman" w:eastAsia="小标宋" w:cs="Times New Roman"/>
          <w:b/>
          <w:color w:val="auto"/>
          <w:sz w:val="44"/>
          <w:szCs w:val="44"/>
          <w:lang w:val="en-US" w:eastAsia="zh-CN"/>
        </w:rPr>
        <w:t>遂宁市市场监督管理局河东新区分局</w:t>
      </w:r>
    </w:p>
    <w:p w14:paraId="0474B4D7">
      <w:pPr>
        <w:keepNext w:val="0"/>
        <w:keepLines w:val="0"/>
        <w:pageBreakBefore w:val="0"/>
        <w:widowControl/>
        <w:kinsoku/>
        <w:wordWrap/>
        <w:overflowPunct/>
        <w:topLinePunct w:val="0"/>
        <w:autoSpaceDE/>
        <w:autoSpaceDN/>
        <w:bidi w:val="0"/>
        <w:adjustRightInd w:val="0"/>
        <w:snapToGrid w:val="0"/>
        <w:spacing w:line="560" w:lineRule="exact"/>
        <w:ind w:firstLine="0" w:firstLineChars="0"/>
        <w:jc w:val="center"/>
        <w:textAlignment w:val="auto"/>
        <w:outlineLvl w:val="0"/>
        <w:rPr>
          <w:rFonts w:ascii="小标宋" w:hAnsi="方正小标宋_GBK" w:eastAsia="小标宋" w:cs="Times New Roman"/>
          <w:b/>
          <w:color w:val="auto"/>
          <w:sz w:val="44"/>
          <w:szCs w:val="44"/>
        </w:rPr>
      </w:pPr>
      <w:r>
        <w:rPr>
          <w:rFonts w:hint="eastAsia" w:ascii="Times New Roman" w:hAnsi="Times New Roman" w:eastAsia="小标宋" w:cs="Times New Roman"/>
          <w:b/>
          <w:color w:val="auto"/>
          <w:sz w:val="44"/>
          <w:szCs w:val="44"/>
        </w:rPr>
        <w:t>部门整体支出绩效评价报告</w:t>
      </w:r>
    </w:p>
    <w:p w14:paraId="41578125">
      <w:pPr>
        <w:pStyle w:val="4"/>
        <w:keepNext w:val="0"/>
        <w:keepLines w:val="0"/>
        <w:pageBreakBefore w:val="0"/>
        <w:widowControl/>
        <w:kinsoku/>
        <w:wordWrap/>
        <w:overflowPunct/>
        <w:topLinePunct w:val="0"/>
        <w:autoSpaceDE/>
        <w:autoSpaceDN/>
        <w:bidi w:val="0"/>
        <w:adjustRightInd w:val="0"/>
        <w:snapToGrid w:val="0"/>
        <w:spacing w:line="640" w:lineRule="exact"/>
        <w:ind w:left="0" w:leftChars="0" w:firstLine="0" w:firstLineChars="0"/>
        <w:textAlignment w:val="auto"/>
        <w:rPr>
          <w:rFonts w:hint="eastAsia"/>
          <w:color w:val="auto"/>
        </w:rPr>
      </w:pPr>
    </w:p>
    <w:p w14:paraId="5BEA5D3D">
      <w:pPr>
        <w:pStyle w:val="4"/>
        <w:keepNext w:val="0"/>
        <w:keepLines w:val="0"/>
        <w:pageBreakBefore w:val="0"/>
        <w:widowControl/>
        <w:kinsoku/>
        <w:wordWrap/>
        <w:overflowPunct/>
        <w:topLinePunct w:val="0"/>
        <w:autoSpaceDE/>
        <w:autoSpaceDN/>
        <w:bidi w:val="0"/>
        <w:adjustRightInd w:val="0"/>
        <w:snapToGrid w:val="0"/>
        <w:spacing w:line="640" w:lineRule="exact"/>
        <w:ind w:left="0" w:leftChars="0" w:firstLine="0" w:firstLineChars="0"/>
        <w:textAlignment w:val="auto"/>
        <w:rPr>
          <w:rFonts w:hint="eastAsia"/>
          <w:color w:val="auto"/>
        </w:rPr>
      </w:pPr>
      <w:r>
        <w:rPr>
          <w:rFonts w:hint="eastAsia"/>
          <w:color w:val="auto"/>
        </w:rPr>
        <w:t>遂宁市河东新区财政金融国资管理局：</w:t>
      </w:r>
    </w:p>
    <w:p w14:paraId="024492CE">
      <w:pPr>
        <w:pStyle w:val="4"/>
        <w:keepNext w:val="0"/>
        <w:keepLines w:val="0"/>
        <w:pageBreakBefore w:val="0"/>
        <w:widowControl/>
        <w:kinsoku/>
        <w:wordWrap/>
        <w:overflowPunct/>
        <w:topLinePunct w:val="0"/>
        <w:autoSpaceDE/>
        <w:autoSpaceDN/>
        <w:bidi w:val="0"/>
        <w:adjustRightInd w:val="0"/>
        <w:snapToGrid w:val="0"/>
        <w:spacing w:line="640" w:lineRule="exact"/>
        <w:ind w:firstLine="640" w:firstLineChars="200"/>
        <w:textAlignment w:val="auto"/>
        <w:rPr>
          <w:rFonts w:hint="eastAsia"/>
          <w:color w:val="auto"/>
        </w:rPr>
      </w:pPr>
      <w:r>
        <w:rPr>
          <w:rFonts w:hint="eastAsia"/>
          <w:color w:val="auto"/>
        </w:rPr>
        <w:t>我们接受委托，对</w:t>
      </w:r>
      <w:r>
        <w:rPr>
          <w:rFonts w:hint="eastAsia"/>
          <w:color w:val="auto"/>
          <w:lang w:eastAsia="zh-CN"/>
        </w:rPr>
        <w:t>遂宁市市场监督管理局河东新区分局</w:t>
      </w:r>
      <w:r>
        <w:rPr>
          <w:rFonts w:hint="eastAsia"/>
          <w:color w:val="auto"/>
          <w:lang w:val="en-US" w:eastAsia="zh-CN"/>
        </w:rPr>
        <w:t>(以下简称“市场监督管理局分局”部门整体</w:t>
      </w:r>
      <w:r>
        <w:rPr>
          <w:rFonts w:hint="eastAsia"/>
          <w:color w:val="auto"/>
        </w:rPr>
        <w:t>进行绩效评价。</w:t>
      </w:r>
      <w:r>
        <w:rPr>
          <w:rFonts w:hint="eastAsia"/>
          <w:color w:val="auto"/>
          <w:lang w:val="en-US" w:eastAsia="zh-CN"/>
        </w:rPr>
        <w:t>市场监督管理局分局</w:t>
      </w:r>
      <w:r>
        <w:rPr>
          <w:rFonts w:hint="eastAsia"/>
          <w:color w:val="auto"/>
        </w:rPr>
        <w:t>对提供的相关资料的真实性、合法性、完整性负责。我们的责任是在</w:t>
      </w:r>
      <w:r>
        <w:rPr>
          <w:rFonts w:hint="eastAsia"/>
          <w:color w:val="auto"/>
          <w:lang w:val="en-US" w:eastAsia="zh-CN"/>
        </w:rPr>
        <w:t>市场监督管理局分局</w:t>
      </w:r>
      <w:r>
        <w:rPr>
          <w:rFonts w:hint="eastAsia"/>
          <w:color w:val="auto"/>
        </w:rPr>
        <w:t>提供的资料基础上发表绩效评价意见。我们依据《中共四川省委 四川省人民政府 关于全面实施预算绩效管理的实施意见》（川委发〔2019〕8号）、财政部《项目支出绩效评价管理办法》(财预〔2020〕10号）和四川省财政厅《关于四川省财政支出绩效评价操作规程（试行）》（川财绩〔2018〕2号）、遂宁市河东新区财政金融国资管理局《关于开展2022年财政重点绩效评价工作的通知》（遂东区财发〔2022〕8号）等相关文件规定基础上进行绩效评价工作。</w:t>
      </w:r>
    </w:p>
    <w:p w14:paraId="0442DD08">
      <w:pPr>
        <w:pStyle w:val="4"/>
        <w:keepNext w:val="0"/>
        <w:keepLines w:val="0"/>
        <w:pageBreakBefore w:val="0"/>
        <w:widowControl/>
        <w:kinsoku/>
        <w:wordWrap/>
        <w:overflowPunct/>
        <w:topLinePunct w:val="0"/>
        <w:autoSpaceDE/>
        <w:autoSpaceDN/>
        <w:bidi w:val="0"/>
        <w:adjustRightInd w:val="0"/>
        <w:snapToGrid w:val="0"/>
        <w:spacing w:line="640" w:lineRule="exact"/>
        <w:ind w:firstLine="640" w:firstLineChars="200"/>
        <w:textAlignment w:val="auto"/>
        <w:rPr>
          <w:rFonts w:hint="eastAsia"/>
          <w:color w:val="auto"/>
        </w:rPr>
        <w:sectPr>
          <w:footerReference r:id="rId11" w:type="default"/>
          <w:pgSz w:w="11906" w:h="16838"/>
          <w:pgMar w:top="1440" w:right="1489" w:bottom="1440" w:left="1797" w:header="851" w:footer="992" w:gutter="0"/>
          <w:pgNumType w:start="1"/>
          <w:cols w:space="425" w:num="1"/>
          <w:docGrid w:type="lines" w:linePitch="312" w:charSpace="0"/>
        </w:sectPr>
      </w:pPr>
      <w:r>
        <w:rPr>
          <w:rFonts w:hint="eastAsia"/>
          <w:color w:val="auto"/>
        </w:rPr>
        <w:t>在评价过程中，评价组结合该项目的实际情况，实地核查相关内设机构的资料，现将评价情况报告如下：</w:t>
      </w:r>
    </w:p>
    <w:p w14:paraId="09089E87">
      <w:pPr>
        <w:pStyle w:val="3"/>
        <w:pageBreakBefore w:val="0"/>
        <w:numPr>
          <w:ilvl w:val="0"/>
          <w:numId w:val="0"/>
        </w:numPr>
        <w:kinsoku/>
        <w:wordWrap/>
        <w:overflowPunct/>
        <w:topLinePunct w:val="0"/>
        <w:autoSpaceDE/>
        <w:autoSpaceDN/>
        <w:bidi w:val="0"/>
        <w:spacing w:line="560" w:lineRule="exact"/>
        <w:ind w:leftChars="200"/>
        <w:rPr>
          <w:rFonts w:hint="eastAsia"/>
          <w:color w:val="auto"/>
        </w:rPr>
      </w:pPr>
      <w:r>
        <w:rPr>
          <w:rFonts w:hint="eastAsia"/>
          <w:color w:val="auto"/>
          <w:lang w:eastAsia="zh-CN"/>
        </w:rPr>
        <w:t>一、</w:t>
      </w:r>
      <w:r>
        <w:rPr>
          <w:rFonts w:hint="eastAsia"/>
          <w:color w:val="auto"/>
        </w:rPr>
        <w:t>部门（单位）概况</w:t>
      </w:r>
    </w:p>
    <w:p w14:paraId="134B8F78">
      <w:pPr>
        <w:pStyle w:val="5"/>
        <w:pageBreakBefore w:val="0"/>
        <w:kinsoku/>
        <w:wordWrap/>
        <w:overflowPunct/>
        <w:topLinePunct w:val="0"/>
        <w:autoSpaceDE/>
        <w:autoSpaceDN/>
        <w:bidi w:val="0"/>
        <w:adjustRightInd/>
        <w:spacing w:line="560" w:lineRule="exact"/>
        <w:ind w:firstLine="643" w:firstLineChars="200"/>
        <w:rPr>
          <w:rFonts w:hint="eastAsia"/>
          <w:color w:val="auto"/>
        </w:rPr>
      </w:pPr>
      <w:r>
        <w:rPr>
          <w:rFonts w:hint="eastAsia"/>
          <w:color w:val="auto"/>
        </w:rPr>
        <w:t>机构职能</w:t>
      </w:r>
    </w:p>
    <w:p w14:paraId="26C5560B">
      <w:pPr>
        <w:pStyle w:val="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color w:val="auto"/>
          <w:highlight w:val="none"/>
          <w:lang w:val="en-US" w:eastAsia="zh-CN"/>
        </w:rPr>
      </w:pPr>
      <w:r>
        <w:rPr>
          <w:rFonts w:hint="eastAsia"/>
          <w:color w:val="auto"/>
          <w:highlight w:val="none"/>
          <w:lang w:val="en-US" w:eastAsia="zh-CN"/>
        </w:rPr>
        <w:t>1.负责辖区市场综合监督管理工作。拟订并组织实施市场监督管理的政策措施。组织实施质量强区、食品(含保健食品、特殊医学用途配方食品和婴幼儿配方乳粉等特殊食品，下同)药品质量安全、特种设备安全、标准化和知识产权战略，拟订并组织实施食品安全等规划，规范和维护市场秩序，营造诚实守信、公平竞争的市场环境。</w:t>
      </w:r>
    </w:p>
    <w:p w14:paraId="28860906">
      <w:pPr>
        <w:pStyle w:val="4"/>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lang w:val="en-US" w:eastAsia="zh-CN"/>
        </w:rPr>
      </w:pPr>
      <w:r>
        <w:rPr>
          <w:rFonts w:hint="eastAsia"/>
          <w:color w:val="auto"/>
          <w:highlight w:val="none"/>
          <w:lang w:val="en-US" w:eastAsia="zh-CN"/>
        </w:rPr>
        <w:t>2.负责市场主体统一登记注册。负责各类企业、农民专业合作社和从事经营活动的单位、个体工商户等市场主体的登记注册和监督管理工作。建立市场主体信息公示和共享机制，依法公示和共享有关信息，加强信用监管，推动市场主体信用体系建设。</w:t>
      </w:r>
    </w:p>
    <w:p w14:paraId="5E9DF0FD">
      <w:pPr>
        <w:pStyle w:val="4"/>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lang w:val="en-US" w:eastAsia="zh-CN"/>
        </w:rPr>
      </w:pPr>
      <w:r>
        <w:rPr>
          <w:rFonts w:hint="eastAsia"/>
          <w:color w:val="auto"/>
          <w:highlight w:val="none"/>
          <w:lang w:val="en-US" w:eastAsia="zh-CN"/>
        </w:rPr>
        <w:t>3.负责组织市场监督管理综合执法工作。加强市场监管综合执法队伍整合和建设，推动实行统一的市场监管。依法组织查处大案要案、疑难案件、跨区域案件。规范市场监督管理行政执法行为。</w:t>
      </w:r>
    </w:p>
    <w:p w14:paraId="3C279496">
      <w:pPr>
        <w:pStyle w:val="4"/>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lang w:val="en-US" w:eastAsia="zh-CN"/>
        </w:rPr>
      </w:pPr>
      <w:r>
        <w:rPr>
          <w:rFonts w:hint="eastAsia"/>
          <w:color w:val="auto"/>
          <w:highlight w:val="none"/>
          <w:lang w:val="en-US" w:eastAsia="zh-CN"/>
        </w:rPr>
        <w:t> 4.负责监督管理市场秩序。统筹推进竞争政策实施，指导实施公平竞争审查制度。依法依授权对经营者集中行为进行反垄断审查，负责垄断协议、滥用市场支配地位和滥用行政权力排除、限制竞争等反垄断执法工作。依法监督管理市场交易、网络商品交易及有关服务行为。组织、指导查处价格收费违法违规、不正当竞争、违法直销、传销、侵犯商标专利知识产权和制售假冒伪劣行为。指导广告业发展，监督管理广告活动。组织、指导依法查处虚假注册、无照生产经营和相关无证生产经营行为，指导保护消费者权益委员会开展消费维权工作。</w:t>
      </w:r>
    </w:p>
    <w:p w14:paraId="47149A0B">
      <w:pPr>
        <w:pStyle w:val="4"/>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lang w:val="en-US" w:eastAsia="zh-CN"/>
        </w:rPr>
      </w:pPr>
      <w:r>
        <w:rPr>
          <w:rFonts w:hint="eastAsia"/>
          <w:color w:val="auto"/>
          <w:highlight w:val="none"/>
          <w:lang w:val="en-US" w:eastAsia="zh-CN"/>
        </w:rPr>
        <w:t>5.负责辖区宏观质量管理。拟订并组织实施质量发展的制度措施。统筹质量基础设施建设与应用，会同有关部门组织实施重大工程设备质量监理制度，组织重大产品质量事故调查，贯彻实施缺陷产品召回制度，监督管理产品防伪工作。</w:t>
      </w:r>
    </w:p>
    <w:p w14:paraId="755C83BC">
      <w:pPr>
        <w:pStyle w:val="4"/>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lang w:val="en-US" w:eastAsia="zh-CN"/>
        </w:rPr>
      </w:pPr>
      <w:r>
        <w:rPr>
          <w:rFonts w:hint="eastAsia"/>
          <w:color w:val="auto"/>
          <w:highlight w:val="none"/>
          <w:lang w:val="en-US" w:eastAsia="zh-CN"/>
        </w:rPr>
        <w:t>6.负责产品质量安全监督管理。负责产品质量监督抽查和风险监控工作，组织实施质量分级制度、质量安全追溯制度。负责工业产品生产许可管理。负责纤维质量监督工作。</w:t>
      </w:r>
    </w:p>
    <w:p w14:paraId="3EA2F0ED">
      <w:pPr>
        <w:pStyle w:val="4"/>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lang w:val="en-US" w:eastAsia="zh-CN"/>
        </w:rPr>
      </w:pPr>
      <w:r>
        <w:rPr>
          <w:rFonts w:hint="eastAsia"/>
          <w:color w:val="auto"/>
          <w:highlight w:val="none"/>
          <w:lang w:val="en-US" w:eastAsia="zh-CN"/>
        </w:rPr>
        <w:t>7.负责特种设备安全监督管理。综合管理特种设备安全监察、监督工作，监督检查高耗能特种设备节能标准和锅炉产品环境保护标准的执行情况。</w:t>
      </w:r>
    </w:p>
    <w:p w14:paraId="079D0C90">
      <w:pPr>
        <w:pStyle w:val="4"/>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lang w:val="en-US" w:eastAsia="zh-CN"/>
        </w:rPr>
      </w:pPr>
      <w:r>
        <w:rPr>
          <w:rFonts w:hint="eastAsia"/>
          <w:color w:val="auto"/>
          <w:highlight w:val="none"/>
          <w:lang w:val="en-US" w:eastAsia="zh-CN"/>
        </w:rPr>
        <w:t>8.负责食品安全监督管理综合协调。统筹指导食品安全工作。负责食品安全应急体系建设，组织较大食品安全突发事件应急处置和调查处理工作。建立健全食品安全重要信息直报制度。负责食品安全委员会日常工作。</w:t>
      </w:r>
    </w:p>
    <w:p w14:paraId="75BC93AF">
      <w:pPr>
        <w:pStyle w:val="4"/>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lang w:val="en-US" w:eastAsia="zh-CN"/>
        </w:rPr>
      </w:pPr>
      <w:r>
        <w:rPr>
          <w:rFonts w:hint="eastAsia"/>
          <w:color w:val="auto"/>
          <w:highlight w:val="none"/>
          <w:lang w:val="en-US" w:eastAsia="zh-CN"/>
        </w:rPr>
        <w:t>9.负责食品安全监督管理。建立覆盖食品生产、流通、消费全过程的监督检查制度和隐患排查治理机制并组织实施，防范区域性、系统性食品安全风险。推动建立食品生产经营者落实主体责任的机制，健全食品安全追溯体系。指导督促食品生产经营企业的安全生产工作，组织开展食品安全监督抽检、风险监测、核查处置和风险预警、风险交流工作。组织实施特殊食品监督管理。</w:t>
      </w:r>
    </w:p>
    <w:p w14:paraId="6E41589B">
      <w:pPr>
        <w:pStyle w:val="4"/>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lang w:val="en-US" w:eastAsia="zh-CN"/>
        </w:rPr>
      </w:pPr>
      <w:r>
        <w:rPr>
          <w:rFonts w:hint="eastAsia"/>
          <w:color w:val="auto"/>
          <w:highlight w:val="none"/>
          <w:lang w:val="en-US" w:eastAsia="zh-CN"/>
        </w:rPr>
        <w:t>10.负责贯彻执行国家、省有关药品(含中药、民族药，下同)、医疗器械和化妆品监督管理的方针政策和法律法规。监督实施药品、医疗器械经营、使用质量管理规范，负责药品、医疗器械、化妆品上市后风险管理。依职责组织实施药品、医疗器械和化妆品监督检查，负责药品零售，医疗器械经营的许可、检查和处罚，以及化妆品经营和药品、医疗器械使用环节质量的安全监测、检查和处罚。落实执业药师准入制度。</w:t>
      </w:r>
    </w:p>
    <w:p w14:paraId="2B5CE898">
      <w:pPr>
        <w:pStyle w:val="4"/>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lang w:val="en-US" w:eastAsia="zh-CN"/>
        </w:rPr>
      </w:pPr>
      <w:r>
        <w:rPr>
          <w:rFonts w:hint="eastAsia"/>
          <w:color w:val="auto"/>
          <w:highlight w:val="none"/>
          <w:lang w:val="en-US" w:eastAsia="zh-CN"/>
        </w:rPr>
        <w:t>11.负责统一管理计量工作。推行法定计量单位、执行国家计量制度，管理计量器具及量值传递和比对工作。规范、监督商品量和市场计量行为。</w:t>
      </w:r>
    </w:p>
    <w:p w14:paraId="42A8BB2E">
      <w:pPr>
        <w:pStyle w:val="4"/>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lang w:val="en-US" w:eastAsia="zh-CN"/>
        </w:rPr>
      </w:pPr>
      <w:r>
        <w:rPr>
          <w:rFonts w:hint="eastAsia"/>
          <w:color w:val="auto"/>
          <w:highlight w:val="none"/>
          <w:lang w:val="en-US" w:eastAsia="zh-CN"/>
        </w:rPr>
        <w:t>12.负责统一管理标准化工作。依法承担地方标准立项、编号和发布等工作，依法制定地方标准、团体标准并组织实施，对标准实施情况开展监督。</w:t>
      </w:r>
    </w:p>
    <w:p w14:paraId="06FFB845">
      <w:pPr>
        <w:pStyle w:val="4"/>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lang w:val="en-US" w:eastAsia="zh-CN"/>
        </w:rPr>
      </w:pPr>
      <w:r>
        <w:rPr>
          <w:rFonts w:hint="eastAsia"/>
          <w:color w:val="auto"/>
          <w:highlight w:val="none"/>
          <w:lang w:val="en-US" w:eastAsia="zh-CN"/>
        </w:rPr>
        <w:t>13.负责统一管理检验检测工作。规范检验检测市场，完善检验检测体系，指导检验检测行业发展。</w:t>
      </w:r>
    </w:p>
    <w:p w14:paraId="2165DE95">
      <w:pPr>
        <w:pStyle w:val="4"/>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lang w:val="en-US" w:eastAsia="zh-CN"/>
        </w:rPr>
      </w:pPr>
      <w:r>
        <w:rPr>
          <w:rFonts w:hint="eastAsia"/>
          <w:color w:val="auto"/>
          <w:highlight w:val="none"/>
          <w:lang w:val="en-US" w:eastAsia="zh-CN"/>
        </w:rPr>
        <w:t>14.负责统一管理认证认可工作。监督管理认证认可和合格评定工作。</w:t>
      </w:r>
    </w:p>
    <w:p w14:paraId="3E8E3C5A">
      <w:pPr>
        <w:pStyle w:val="4"/>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lang w:val="en-US" w:eastAsia="zh-CN"/>
        </w:rPr>
      </w:pPr>
      <w:r>
        <w:rPr>
          <w:rFonts w:hint="eastAsia"/>
          <w:color w:val="auto"/>
          <w:highlight w:val="none"/>
          <w:lang w:val="en-US" w:eastAsia="zh-CN"/>
        </w:rPr>
        <w:t>15.负责市场监督管理科技和信息化建设、新闻宣传。</w:t>
      </w:r>
    </w:p>
    <w:p w14:paraId="252DFD45">
      <w:pPr>
        <w:pStyle w:val="4"/>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lang w:val="en-US" w:eastAsia="zh-CN"/>
        </w:rPr>
      </w:pPr>
      <w:r>
        <w:rPr>
          <w:rFonts w:hint="eastAsia"/>
          <w:color w:val="auto"/>
          <w:highlight w:val="none"/>
          <w:lang w:val="en-US" w:eastAsia="zh-CN"/>
        </w:rPr>
        <w:t>16.负责知识产权战略、规划的制定，知识产权的保护，负责组织指导商标、专利执法工作。</w:t>
      </w:r>
    </w:p>
    <w:p w14:paraId="385DD86E">
      <w:pPr>
        <w:pStyle w:val="4"/>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lang w:val="en-US" w:eastAsia="zh-CN"/>
        </w:rPr>
      </w:pPr>
      <w:r>
        <w:rPr>
          <w:rFonts w:hint="eastAsia"/>
          <w:color w:val="auto"/>
          <w:highlight w:val="none"/>
          <w:lang w:val="en-US" w:eastAsia="zh-CN"/>
        </w:rPr>
        <w:t>17.负责职责范围内的安全生产和职业健康、生态环境保护、审批服务便民化等工作。</w:t>
      </w:r>
    </w:p>
    <w:p w14:paraId="6299B200">
      <w:pPr>
        <w:pStyle w:val="4"/>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lang w:val="en-US" w:eastAsia="zh-CN"/>
        </w:rPr>
      </w:pPr>
      <w:r>
        <w:rPr>
          <w:rFonts w:hint="eastAsia"/>
          <w:color w:val="auto"/>
          <w:highlight w:val="none"/>
          <w:lang w:val="en-US" w:eastAsia="zh-CN"/>
        </w:rPr>
        <w:t>18.完成党工委管委会交办的其它任务。</w:t>
      </w:r>
    </w:p>
    <w:p w14:paraId="44A685D6">
      <w:pPr>
        <w:pStyle w:val="4"/>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lang w:val="en-US" w:eastAsia="zh-CN"/>
        </w:rPr>
      </w:pPr>
      <w:r>
        <w:rPr>
          <w:rFonts w:hint="eastAsia"/>
          <w:color w:val="auto"/>
          <w:highlight w:val="none"/>
          <w:lang w:val="en-US" w:eastAsia="zh-CN"/>
        </w:rPr>
        <w:t>19.大力推进质量提升。加强全面质量管理和质量基础设施体系建设。加快建立企业产品质量安全事故强制报告制度及经营者首问和赔偿先付制度，创新第三方质量评价，强化生产经营者主体责任，推广先进的质量管理办法。全面实施企业产品与服务标准自我声明公开和监督制度，培育发展技术先进的团体标准，对标国际提高标准整体水平，以标准化促进质量强区建设。</w:t>
      </w:r>
    </w:p>
    <w:p w14:paraId="63EEEBDF">
      <w:pPr>
        <w:pStyle w:val="4"/>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lang w:val="en-US" w:eastAsia="zh-CN"/>
        </w:rPr>
      </w:pPr>
      <w:r>
        <w:rPr>
          <w:rFonts w:hint="eastAsia"/>
          <w:color w:val="auto"/>
          <w:highlight w:val="none"/>
          <w:lang w:val="en-US" w:eastAsia="zh-CN"/>
        </w:rPr>
        <w:t>20.深入推进简政放权。深化商事制度改革，改革企业名称核准、市场主体退出等制度，深化“证照分离”改革，推动“照后减证”，压缩企业开办时间。进一步减少评比达标、认定奖励、示范创建等活动，减少行政审批事项，按国家要求大幅压减工业产品生产许可证，促进优化营商环境。</w:t>
      </w:r>
    </w:p>
    <w:p w14:paraId="12C941FB">
      <w:pPr>
        <w:pStyle w:val="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color w:val="auto"/>
          <w:highlight w:val="none"/>
          <w:lang w:val="en-US" w:eastAsia="zh-CN"/>
        </w:rPr>
      </w:pPr>
      <w:r>
        <w:rPr>
          <w:rFonts w:hint="eastAsia"/>
          <w:color w:val="auto"/>
          <w:highlight w:val="none"/>
          <w:lang w:val="en-US" w:eastAsia="zh-CN"/>
        </w:rPr>
        <w:t>21.严守安全底线。遵循“最严谨的标准、最严格的监管、最严厉的处罚、最严肃的问责”要求，依法加强食品、药品、医疗器械、化妆品安全和工业产品质量安全、特种设备安全监管，强化现场检查，严惩违法违规行为，有效防范系统性风险，让人民群众买得放心、用得放心、吃得放心。</w:t>
      </w:r>
      <w:r>
        <w:rPr>
          <w:rFonts w:hint="default"/>
          <w:color w:val="auto"/>
          <w:highlight w:val="none"/>
          <w:lang w:val="en-US" w:eastAsia="zh-CN"/>
        </w:rPr>
        <w:t> </w:t>
      </w:r>
    </w:p>
    <w:p w14:paraId="101EFD3C">
      <w:pPr>
        <w:pStyle w:val="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color w:val="auto"/>
          <w:highlight w:val="none"/>
          <w:lang w:val="en-US" w:eastAsia="zh-CN"/>
        </w:rPr>
      </w:pPr>
      <w:r>
        <w:rPr>
          <w:rFonts w:hint="eastAsia"/>
          <w:color w:val="auto"/>
          <w:highlight w:val="none"/>
          <w:lang w:val="en-US" w:eastAsia="zh-CN"/>
        </w:rPr>
        <w:t>22.加强事中事后监管。加快清理废除妨碍统一市场和公平竞争的各种规定和做法，加强反不正当竞争统一执法。强化依据标准监管，强化风险管理，全面推行“双随机、一公开”和“互联网十监管”，加快推进监管信息共享和失信联合惩戒，构建以信息公示为手段、以信用监管为核心的新型市场监管体系。</w:t>
      </w:r>
    </w:p>
    <w:p w14:paraId="60DF4AAD">
      <w:pPr>
        <w:pStyle w:val="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color w:val="auto"/>
          <w:highlight w:val="none"/>
          <w:lang w:val="en-US" w:eastAsia="zh-CN"/>
        </w:rPr>
      </w:pPr>
      <w:r>
        <w:rPr>
          <w:rFonts w:hint="eastAsia"/>
          <w:color w:val="auto"/>
          <w:highlight w:val="none"/>
          <w:lang w:val="en-US" w:eastAsia="zh-CN"/>
        </w:rPr>
        <w:t> 23.提高服务水平。大力推行一个窗口对外服务，加快整合消费投诉、质量监督举报、食品药品投诉、知识产权投诉、价格举报专线。推进市场主体准入到退出全过程便利化，主动服务新技术新产业新业态新模式发展，运用大数据加强对市场主体服务，积极服务个体工商户、私营企业和办事群众，促进大众创业、万众创新。</w:t>
      </w:r>
    </w:p>
    <w:p w14:paraId="27951864">
      <w:pPr>
        <w:pStyle w:val="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color w:val="auto"/>
          <w:highlight w:val="none"/>
          <w:lang w:val="en-US" w:eastAsia="zh-CN"/>
        </w:rPr>
      </w:pPr>
      <w:r>
        <w:rPr>
          <w:rFonts w:hint="eastAsia"/>
          <w:color w:val="auto"/>
          <w:highlight w:val="none"/>
          <w:lang w:val="en-US" w:eastAsia="zh-CN"/>
        </w:rPr>
        <w:t>24.完善市场监管和执法体制。改革和理顺市场监管体制，整合监管职能，加强监管协同，形成市场监管合力。深化市场监管综合行政执法改革，统筹配置执法职能和资源，相对集中行使处罚权，整合精简执法队伍，解决多头重复执法问题。加快推进市场监管执法稽查机制建设，加大跨区域、跨部门、跨行业大案要案查处力度。</w:t>
      </w:r>
    </w:p>
    <w:p w14:paraId="7ADB405B">
      <w:pPr>
        <w:pStyle w:val="5"/>
        <w:pageBreakBefore w:val="0"/>
        <w:kinsoku/>
        <w:wordWrap/>
        <w:overflowPunct/>
        <w:topLinePunct w:val="0"/>
        <w:autoSpaceDE/>
        <w:autoSpaceDN/>
        <w:bidi w:val="0"/>
        <w:adjustRightInd/>
        <w:spacing w:line="560" w:lineRule="exact"/>
        <w:ind w:firstLine="643" w:firstLineChars="200"/>
        <w:rPr>
          <w:color w:val="auto"/>
        </w:rPr>
      </w:pPr>
      <w:r>
        <w:rPr>
          <w:rFonts w:hint="eastAsia"/>
          <w:color w:val="auto"/>
        </w:rPr>
        <w:t>机构组成</w:t>
      </w:r>
    </w:p>
    <w:p w14:paraId="753849A8">
      <w:pPr>
        <w:pStyle w:val="4"/>
        <w:pageBreakBefore w:val="0"/>
        <w:kinsoku/>
        <w:wordWrap/>
        <w:overflowPunct/>
        <w:topLinePunct w:val="0"/>
        <w:autoSpaceDE/>
        <w:autoSpaceDN/>
        <w:bidi w:val="0"/>
        <w:spacing w:line="560" w:lineRule="exact"/>
        <w:ind w:firstLine="640" w:firstLineChars="200"/>
        <w:textAlignment w:val="auto"/>
        <w:rPr>
          <w:rFonts w:hint="eastAsia"/>
          <w:color w:val="auto"/>
          <w:lang w:val="en-US" w:eastAsia="zh-CN"/>
        </w:rPr>
      </w:pPr>
      <w:r>
        <w:rPr>
          <w:rFonts w:hint="eastAsia" w:ascii="宋体" w:hAnsi="宋体" w:cs="宋体"/>
          <w:b w:val="0"/>
          <w:bCs w:val="0"/>
          <w:color w:val="auto"/>
          <w:szCs w:val="21"/>
          <w:lang w:val="en-US" w:eastAsia="zh-CN"/>
        </w:rPr>
        <w:t>市场监督管理局分局</w:t>
      </w:r>
      <w:r>
        <w:rPr>
          <w:rFonts w:hint="eastAsia"/>
          <w:color w:val="auto"/>
          <w:lang w:val="en-US" w:eastAsia="zh-CN"/>
        </w:rPr>
        <w:t>内设</w:t>
      </w:r>
      <w:r>
        <w:rPr>
          <w:rFonts w:hint="eastAsia" w:ascii="仿宋_GB2312" w:hAnsi="仿宋" w:eastAsia="仿宋_GB2312"/>
          <w:color w:val="auto"/>
          <w:sz w:val="32"/>
          <w:szCs w:val="32"/>
          <w:lang w:eastAsia="zh-CN"/>
        </w:rPr>
        <w:t>办公室、信用信息监督管理股</w:t>
      </w:r>
      <w:r>
        <w:rPr>
          <w:rFonts w:hint="eastAsia" w:ascii="仿宋_GB2312" w:hAnsi="仿宋"/>
          <w:color w:val="auto"/>
          <w:sz w:val="32"/>
          <w:szCs w:val="32"/>
          <w:lang w:eastAsia="zh-CN"/>
        </w:rPr>
        <w:t>、质量监督管理股、消费者权益保护股、双反监督管理股、食品安全监督管理股、药化械监督管理股、餐饮服务监督管理股</w:t>
      </w:r>
      <w:r>
        <w:rPr>
          <w:rFonts w:hint="eastAsia" w:ascii="仿宋_GB2312" w:hAnsi="仿宋"/>
          <w:color w:val="auto"/>
          <w:sz w:val="32"/>
          <w:szCs w:val="32"/>
          <w:lang w:val="en-US" w:eastAsia="zh-CN"/>
        </w:rPr>
        <w:t>及</w:t>
      </w:r>
      <w:r>
        <w:rPr>
          <w:rFonts w:hint="eastAsia" w:ascii="仿宋_GB2312" w:hAnsi="仿宋"/>
          <w:color w:val="auto"/>
          <w:sz w:val="32"/>
          <w:szCs w:val="32"/>
          <w:lang w:eastAsia="zh-CN"/>
        </w:rPr>
        <w:t>农产品流通管理股</w:t>
      </w:r>
      <w:r>
        <w:rPr>
          <w:rFonts w:hint="eastAsia" w:ascii="仿宋_GB2312" w:hAnsi="仿宋"/>
          <w:color w:val="auto"/>
          <w:sz w:val="32"/>
          <w:szCs w:val="32"/>
          <w:lang w:val="en-US" w:eastAsia="zh-CN"/>
        </w:rPr>
        <w:t>9个机构，下辖</w:t>
      </w:r>
      <w:r>
        <w:rPr>
          <w:rFonts w:hint="eastAsia" w:ascii="仿宋_GB2312" w:hAnsi="仿宋" w:eastAsia="仿宋_GB2312"/>
          <w:color w:val="auto"/>
          <w:sz w:val="32"/>
          <w:szCs w:val="32"/>
          <w:lang w:eastAsia="zh-CN"/>
        </w:rPr>
        <w:t>慈音、灵泉</w:t>
      </w:r>
      <w:r>
        <w:rPr>
          <w:rFonts w:hint="eastAsia" w:ascii="仿宋_GB2312" w:hAnsi="仿宋"/>
          <w:color w:val="auto"/>
          <w:sz w:val="32"/>
          <w:szCs w:val="32"/>
          <w:lang w:eastAsia="zh-CN"/>
        </w:rPr>
        <w:t>、</w:t>
      </w:r>
      <w:r>
        <w:rPr>
          <w:rFonts w:hint="eastAsia" w:ascii="仿宋_GB2312" w:hAnsi="仿宋"/>
          <w:color w:val="auto"/>
          <w:sz w:val="32"/>
          <w:szCs w:val="32"/>
          <w:lang w:val="en-US" w:eastAsia="zh-CN"/>
        </w:rPr>
        <w:t>杨渡3</w:t>
      </w:r>
      <w:r>
        <w:rPr>
          <w:rFonts w:hint="eastAsia" w:ascii="仿宋_GB2312" w:hAnsi="仿宋" w:eastAsia="仿宋_GB2312"/>
          <w:color w:val="auto"/>
          <w:sz w:val="32"/>
          <w:szCs w:val="32"/>
          <w:lang w:eastAsia="zh-CN"/>
        </w:rPr>
        <w:t>个</w:t>
      </w:r>
      <w:r>
        <w:rPr>
          <w:rFonts w:hint="eastAsia" w:ascii="仿宋_GB2312" w:hAnsi="仿宋"/>
          <w:color w:val="auto"/>
          <w:sz w:val="32"/>
          <w:szCs w:val="32"/>
          <w:lang w:val="en-US" w:eastAsia="zh-CN"/>
        </w:rPr>
        <w:t>市场</w:t>
      </w:r>
      <w:r>
        <w:rPr>
          <w:rFonts w:hint="eastAsia" w:ascii="仿宋_GB2312" w:hAnsi="仿宋" w:eastAsia="仿宋_GB2312"/>
          <w:color w:val="auto"/>
          <w:sz w:val="32"/>
          <w:szCs w:val="32"/>
          <w:lang w:eastAsia="zh-CN"/>
        </w:rPr>
        <w:t>监督管理所</w:t>
      </w:r>
      <w:r>
        <w:rPr>
          <w:rFonts w:hint="eastAsia" w:ascii="宋体" w:hAnsi="宋体" w:cs="宋体"/>
          <w:b w:val="0"/>
          <w:bCs w:val="0"/>
          <w:color w:val="auto"/>
          <w:szCs w:val="21"/>
          <w:lang w:val="en-US" w:eastAsia="zh-CN"/>
        </w:rPr>
        <w:t>。</w:t>
      </w:r>
    </w:p>
    <w:p w14:paraId="0E1D5F18">
      <w:pPr>
        <w:pStyle w:val="5"/>
        <w:pageBreakBefore w:val="0"/>
        <w:kinsoku/>
        <w:wordWrap/>
        <w:overflowPunct/>
        <w:topLinePunct w:val="0"/>
        <w:autoSpaceDE/>
        <w:autoSpaceDN/>
        <w:bidi w:val="0"/>
        <w:spacing w:line="560" w:lineRule="exact"/>
        <w:ind w:left="-13" w:leftChars="0" w:firstLine="643" w:firstLineChars="200"/>
        <w:textAlignment w:val="auto"/>
        <w:rPr>
          <w:color w:val="auto"/>
        </w:rPr>
      </w:pPr>
      <w:r>
        <w:rPr>
          <w:rFonts w:hint="eastAsia"/>
          <w:color w:val="auto"/>
        </w:rPr>
        <w:t>人员概况</w:t>
      </w:r>
    </w:p>
    <w:p w14:paraId="23D3298F">
      <w:pPr>
        <w:pStyle w:val="4"/>
        <w:pageBreakBefore w:val="0"/>
        <w:kinsoku/>
        <w:wordWrap/>
        <w:overflowPunct/>
        <w:topLinePunct w:val="0"/>
        <w:autoSpaceDE/>
        <w:autoSpaceDN/>
        <w:bidi w:val="0"/>
        <w:spacing w:line="560" w:lineRule="exact"/>
        <w:ind w:firstLine="640" w:firstLineChars="200"/>
        <w:textAlignment w:val="auto"/>
        <w:rPr>
          <w:rFonts w:hint="eastAsia"/>
          <w:color w:val="auto"/>
          <w:highlight w:val="none"/>
          <w:lang w:val="en-US" w:eastAsia="zh-CN"/>
        </w:rPr>
      </w:pPr>
      <w:r>
        <w:rPr>
          <w:rFonts w:hint="eastAsia"/>
          <w:color w:val="auto"/>
          <w:highlight w:val="none"/>
          <w:lang w:val="en-US" w:eastAsia="zh-CN"/>
        </w:rPr>
        <w:t>截止2021年12月31日，</w:t>
      </w:r>
      <w:r>
        <w:rPr>
          <w:rFonts w:hint="eastAsia" w:ascii="宋体" w:hAnsi="宋体" w:cs="宋体"/>
          <w:b w:val="0"/>
          <w:bCs w:val="0"/>
          <w:color w:val="auto"/>
          <w:szCs w:val="21"/>
          <w:lang w:val="en-US" w:eastAsia="zh-CN"/>
        </w:rPr>
        <w:t>市场监督管理局分局</w:t>
      </w:r>
      <w:r>
        <w:rPr>
          <w:rFonts w:hint="eastAsia"/>
          <w:color w:val="auto"/>
          <w:highlight w:val="none"/>
          <w:lang w:val="en-US" w:eastAsia="zh-CN"/>
        </w:rPr>
        <w:t>实有人员</w:t>
      </w:r>
      <w:r>
        <w:rPr>
          <w:rFonts w:hint="eastAsia" w:ascii="仿宋_GB2312" w:hAnsi="仿宋"/>
          <w:color w:val="auto"/>
          <w:sz w:val="32"/>
          <w:szCs w:val="32"/>
          <w:lang w:val="en-US" w:eastAsia="zh-CN"/>
        </w:rPr>
        <w:t>62</w:t>
      </w:r>
      <w:r>
        <w:rPr>
          <w:rFonts w:hint="eastAsia"/>
          <w:color w:val="auto"/>
          <w:highlight w:val="none"/>
          <w:lang w:val="en-US" w:eastAsia="zh-CN"/>
        </w:rPr>
        <w:t>名，其中编制人员15名，街道事业编制人员14名，国有公司借调人员6名，第三方聘用人员26名，街道工勤1名。</w:t>
      </w:r>
    </w:p>
    <w:p w14:paraId="6E07A63E">
      <w:pPr>
        <w:pStyle w:val="5"/>
        <w:pageBreakBefore w:val="0"/>
        <w:numPr>
          <w:ilvl w:val="0"/>
          <w:numId w:val="2"/>
        </w:numPr>
        <w:kinsoku/>
        <w:wordWrap/>
        <w:overflowPunct/>
        <w:topLinePunct w:val="0"/>
        <w:autoSpaceDE/>
        <w:autoSpaceDN/>
        <w:bidi w:val="0"/>
        <w:adjustRightInd/>
        <w:spacing w:line="560" w:lineRule="exact"/>
        <w:ind w:left="0" w:leftChars="0" w:firstLine="643" w:firstLineChars="200"/>
        <w:rPr>
          <w:rFonts w:hint="eastAsia"/>
        </w:rPr>
      </w:pPr>
      <w:r>
        <w:rPr>
          <w:rFonts w:hint="eastAsia"/>
          <w:color w:val="auto"/>
        </w:rPr>
        <w:t>年度主要工作目标及重点工作</w:t>
      </w:r>
    </w:p>
    <w:p w14:paraId="72190482">
      <w:pPr>
        <w:pStyle w:val="6"/>
        <w:keepNext/>
        <w:keepLines/>
        <w:pageBreakBefore w:val="0"/>
        <w:widowControl w:val="0"/>
        <w:numPr>
          <w:ilvl w:val="2"/>
          <w:numId w:val="0"/>
        </w:numPr>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cs="Times New Roman"/>
          <w:b/>
          <w:bCs w:val="0"/>
          <w:color w:val="auto"/>
          <w:lang w:val="en-US" w:eastAsia="zh-CN"/>
        </w:rPr>
      </w:pPr>
      <w:r>
        <w:rPr>
          <w:rFonts w:hint="eastAsia" w:ascii="Times New Roman" w:hAnsi="Times New Roman" w:cs="Times New Roman"/>
          <w:b/>
          <w:bCs w:val="0"/>
          <w:color w:val="auto"/>
          <w:lang w:val="en-US" w:eastAsia="zh-CN"/>
        </w:rPr>
        <w:t>1.加大监管力度，持续筑牢安全底线</w:t>
      </w:r>
    </w:p>
    <w:p w14:paraId="553EE821">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仿宋_GB2312" w:cs="Times New Roman"/>
          <w:color w:val="auto"/>
          <w:kern w:val="0"/>
          <w:sz w:val="32"/>
          <w:szCs w:val="28"/>
          <w:highlight w:val="none"/>
          <w:lang w:val="en-US" w:eastAsia="zh-CN" w:bidi="ar-SA"/>
        </w:rPr>
      </w:pPr>
      <w:r>
        <w:rPr>
          <w:rFonts w:hint="eastAsia" w:ascii="Times New Roman" w:hAnsi="Times New Roman" w:eastAsia="仿宋_GB2312" w:cs="Times New Roman"/>
          <w:color w:val="auto"/>
          <w:kern w:val="0"/>
          <w:sz w:val="32"/>
          <w:szCs w:val="28"/>
          <w:highlight w:val="none"/>
          <w:lang w:val="en-US" w:eastAsia="zh-CN" w:bidi="ar-SA"/>
        </w:rPr>
        <w:t>实施关口前移提醒服务，守牢“特种设备、食品、药品”三大安全底线</w:t>
      </w:r>
      <w:r>
        <w:rPr>
          <w:rFonts w:hint="default" w:ascii="Times New Roman" w:hAnsi="Times New Roman" w:eastAsia="仿宋_GB2312" w:cs="Times New Roman"/>
          <w:color w:val="auto"/>
          <w:kern w:val="0"/>
          <w:sz w:val="32"/>
          <w:szCs w:val="28"/>
          <w:highlight w:val="none"/>
          <w:lang w:val="en-US" w:eastAsia="zh-CN" w:bidi="ar-SA"/>
        </w:rPr>
        <w:t>；</w:t>
      </w:r>
      <w:r>
        <w:rPr>
          <w:rFonts w:hint="eastAsia" w:ascii="Times New Roman" w:hAnsi="Times New Roman" w:eastAsia="仿宋_GB2312" w:cs="Times New Roman"/>
          <w:color w:val="auto"/>
          <w:kern w:val="0"/>
          <w:sz w:val="32"/>
          <w:szCs w:val="28"/>
          <w:highlight w:val="none"/>
          <w:lang w:val="en-US" w:eastAsia="zh-CN" w:bidi="ar-SA"/>
        </w:rPr>
        <w:t>严把产品质量源头关，强化重点产品监督抽查、证后监管；持续做实疫情防控，倒逼经营者落实主体责任；加强宣传教育，凝心聚力营造社会共治格局。</w:t>
      </w:r>
    </w:p>
    <w:p w14:paraId="062E1DFF">
      <w:pPr>
        <w:pStyle w:val="6"/>
        <w:keepNext/>
        <w:keepLines/>
        <w:pageBreakBefore w:val="0"/>
        <w:widowControl w:val="0"/>
        <w:numPr>
          <w:ilvl w:val="2"/>
          <w:numId w:val="0"/>
        </w:numPr>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cs="Times New Roman"/>
          <w:b/>
          <w:bCs w:val="0"/>
          <w:color w:val="auto"/>
          <w:lang w:val="zh-CN" w:eastAsia="zh-CN"/>
        </w:rPr>
      </w:pPr>
      <w:r>
        <w:rPr>
          <w:rFonts w:hint="eastAsia" w:ascii="Times New Roman" w:hAnsi="Times New Roman" w:cs="Times New Roman"/>
          <w:b/>
          <w:bCs w:val="0"/>
          <w:color w:val="auto"/>
          <w:lang w:val="en-US" w:eastAsia="zh-CN"/>
        </w:rPr>
        <w:t>2.提升服务水平，持续</w:t>
      </w:r>
      <w:r>
        <w:rPr>
          <w:rFonts w:hint="eastAsia" w:ascii="Times New Roman" w:hAnsi="Times New Roman" w:cs="Times New Roman"/>
          <w:b/>
          <w:bCs w:val="0"/>
          <w:color w:val="auto"/>
          <w:lang w:val="zh-CN" w:eastAsia="zh-CN"/>
        </w:rPr>
        <w:t>推进经济发展</w:t>
      </w:r>
    </w:p>
    <w:p w14:paraId="72A2FB42">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b w:val="0"/>
          <w:bCs w:val="0"/>
          <w:kern w:val="2"/>
          <w:sz w:val="32"/>
          <w:szCs w:val="32"/>
          <w:lang w:val="en-US" w:eastAsia="zh-CN" w:bidi="ar-SA"/>
        </w:rPr>
      </w:pPr>
      <w:r>
        <w:rPr>
          <w:rFonts w:hint="eastAsia" w:ascii="Times New Roman" w:hAnsi="Times New Roman" w:eastAsia="仿宋_GB2312" w:cs="Times New Roman"/>
          <w:color w:val="auto"/>
          <w:kern w:val="0"/>
          <w:sz w:val="32"/>
          <w:szCs w:val="28"/>
          <w:highlight w:val="none"/>
          <w:lang w:val="en-US" w:eastAsia="zh-CN" w:bidi="ar-SA"/>
        </w:rPr>
        <w:t>巩固完善登记制度改革成果，</w:t>
      </w:r>
      <w:r>
        <w:rPr>
          <w:rFonts w:hint="default" w:ascii="Times New Roman" w:hAnsi="Times New Roman" w:eastAsia="仿宋_GB2312" w:cs="Times New Roman"/>
          <w:color w:val="auto"/>
          <w:kern w:val="0"/>
          <w:sz w:val="32"/>
          <w:szCs w:val="28"/>
          <w:highlight w:val="none"/>
          <w:lang w:val="en-US" w:eastAsia="zh-CN" w:bidi="ar-SA"/>
        </w:rPr>
        <w:t>实现注册登记便利化；全面落实优惠政策，积极服务全民创业</w:t>
      </w:r>
      <w:r>
        <w:rPr>
          <w:rFonts w:hint="eastAsia" w:ascii="Times New Roman" w:hAnsi="Times New Roman" w:eastAsia="仿宋_GB2312" w:cs="Times New Roman"/>
          <w:color w:val="auto"/>
          <w:kern w:val="0"/>
          <w:sz w:val="32"/>
          <w:szCs w:val="28"/>
          <w:highlight w:val="none"/>
          <w:lang w:val="en-US" w:eastAsia="zh-CN" w:bidi="ar-SA"/>
        </w:rPr>
        <w:t>；深化“知识产权强区”，形成部门推动品牌建设的强大合力。</w:t>
      </w:r>
    </w:p>
    <w:p w14:paraId="748EA9B1">
      <w:pPr>
        <w:pStyle w:val="6"/>
        <w:keepNext/>
        <w:keepLines/>
        <w:pageBreakBefore w:val="0"/>
        <w:widowControl w:val="0"/>
        <w:numPr>
          <w:ilvl w:val="2"/>
          <w:numId w:val="0"/>
        </w:numPr>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cs="Times New Roman"/>
          <w:b/>
          <w:bCs w:val="0"/>
          <w:color w:val="auto"/>
          <w:lang w:val="zh-CN" w:eastAsia="zh-CN"/>
        </w:rPr>
      </w:pPr>
      <w:r>
        <w:rPr>
          <w:rFonts w:hint="eastAsia" w:ascii="Times New Roman" w:hAnsi="Times New Roman" w:cs="Times New Roman"/>
          <w:b/>
          <w:bCs w:val="0"/>
          <w:color w:val="auto"/>
          <w:lang w:val="en-US" w:eastAsia="zh-CN"/>
        </w:rPr>
        <w:t>3.强化惠民意识，持续</w:t>
      </w:r>
      <w:r>
        <w:rPr>
          <w:rFonts w:hint="eastAsia" w:ascii="Times New Roman" w:hAnsi="Times New Roman" w:cs="Times New Roman"/>
          <w:b/>
          <w:bCs w:val="0"/>
          <w:color w:val="auto"/>
          <w:lang w:val="zh-CN" w:eastAsia="zh-CN"/>
        </w:rPr>
        <w:t>规范市场秩序</w:t>
      </w:r>
    </w:p>
    <w:p w14:paraId="5235DF31">
      <w:pPr>
        <w:pStyle w:val="4"/>
        <w:pageBreakBefore w:val="0"/>
        <w:kinsoku/>
        <w:wordWrap/>
        <w:overflowPunct/>
        <w:topLinePunct w:val="0"/>
        <w:autoSpaceDE/>
        <w:autoSpaceDN/>
        <w:bidi w:val="0"/>
        <w:spacing w:line="560" w:lineRule="exact"/>
        <w:ind w:firstLine="640" w:firstLineChars="200"/>
        <w:textAlignment w:val="auto"/>
        <w:rPr>
          <w:rFonts w:hint="eastAsia" w:ascii="Times New Roman" w:hAnsi="Times New Roman" w:cs="Times New Roman"/>
          <w:color w:val="auto"/>
          <w:szCs w:val="32"/>
          <w:lang w:val="en-US" w:eastAsia="zh-CN"/>
        </w:rPr>
      </w:pPr>
      <w:r>
        <w:rPr>
          <w:rFonts w:hint="eastAsia" w:ascii="Times New Roman" w:hAnsi="Times New Roman" w:cs="Times New Roman"/>
          <w:color w:val="auto"/>
          <w:szCs w:val="32"/>
          <w:lang w:val="en-US" w:eastAsia="zh-CN"/>
        </w:rPr>
        <w:t>加大民生领域反垄断执法力度，加大重要民生商品价格监管力度；</w:t>
      </w:r>
      <w:r>
        <w:rPr>
          <w:rFonts w:hint="eastAsia" w:ascii="Times New Roman" w:hAnsi="Times New Roman" w:cs="Times New Roman"/>
          <w:color w:val="auto"/>
          <w:szCs w:val="32"/>
          <w:lang w:val="zh-CN" w:eastAsia="zh-CN"/>
        </w:rPr>
        <w:t>深化</w:t>
      </w:r>
      <w:r>
        <w:rPr>
          <w:rFonts w:hint="eastAsia" w:ascii="Times New Roman" w:hAnsi="Times New Roman" w:cs="Times New Roman"/>
          <w:color w:val="auto"/>
          <w:szCs w:val="32"/>
          <w:lang w:val="en-US" w:eastAsia="zh-CN"/>
        </w:rPr>
        <w:t>“放心舒心消费城市”创建，以点带片全面发展，打造全市放心舒心消费名片。</w:t>
      </w:r>
    </w:p>
    <w:p w14:paraId="58641167">
      <w:pPr>
        <w:pStyle w:val="6"/>
        <w:keepNext/>
        <w:keepLines/>
        <w:pageBreakBefore w:val="0"/>
        <w:widowControl w:val="0"/>
        <w:numPr>
          <w:ilvl w:val="2"/>
          <w:numId w:val="0"/>
        </w:numPr>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cs="Times New Roman"/>
          <w:b/>
          <w:bCs w:val="0"/>
          <w:color w:val="auto"/>
          <w:lang w:val="en-US" w:eastAsia="zh-CN"/>
        </w:rPr>
      </w:pPr>
      <w:r>
        <w:rPr>
          <w:rFonts w:hint="eastAsia" w:ascii="Times New Roman" w:hAnsi="Times New Roman" w:cs="Times New Roman"/>
          <w:b/>
          <w:bCs w:val="0"/>
          <w:color w:val="auto"/>
          <w:lang w:val="en-US" w:eastAsia="zh-CN"/>
        </w:rPr>
        <w:t>4.聚焦党建赋能，开展党建工作</w:t>
      </w:r>
    </w:p>
    <w:p w14:paraId="2EB6B684">
      <w:pPr>
        <w:pStyle w:val="4"/>
        <w:pageBreakBefore w:val="0"/>
        <w:wordWrap/>
        <w:overflowPunct/>
        <w:topLinePunct w:val="0"/>
        <w:bidi w:val="0"/>
        <w:spacing w:line="560" w:lineRule="exact"/>
        <w:rPr>
          <w:rFonts w:hint="default"/>
          <w:lang w:val="en-US" w:eastAsia="zh-CN"/>
        </w:rPr>
      </w:pPr>
      <w:r>
        <w:rPr>
          <w:rFonts w:hint="eastAsia"/>
          <w:lang w:val="en-US" w:eastAsia="zh-CN"/>
        </w:rPr>
        <w:t>开展党课、理论学习、主题党日等党建工作，加强</w:t>
      </w:r>
      <w:r>
        <w:rPr>
          <w:rFonts w:hint="eastAsia" w:ascii="仿宋" w:hAnsi="仿宋" w:eastAsia="仿宋" w:cs="仿宋_GB2312"/>
          <w:sz w:val="32"/>
          <w:szCs w:val="32"/>
        </w:rPr>
        <w:t>党风廉政建设</w:t>
      </w:r>
      <w:r>
        <w:rPr>
          <w:rFonts w:hint="eastAsia" w:ascii="仿宋" w:hAnsi="仿宋" w:eastAsia="仿宋" w:cs="仿宋_GB2312"/>
          <w:sz w:val="32"/>
          <w:szCs w:val="32"/>
          <w:lang w:eastAsia="zh-CN"/>
        </w:rPr>
        <w:t>。</w:t>
      </w:r>
    </w:p>
    <w:p w14:paraId="757CDEEA">
      <w:pPr>
        <w:pStyle w:val="3"/>
        <w:pageBreakBefore w:val="0"/>
        <w:numPr>
          <w:ilvl w:val="0"/>
          <w:numId w:val="0"/>
        </w:numPr>
        <w:kinsoku/>
        <w:wordWrap/>
        <w:overflowPunct/>
        <w:topLinePunct w:val="0"/>
        <w:autoSpaceDE/>
        <w:autoSpaceDN/>
        <w:bidi w:val="0"/>
        <w:spacing w:line="560" w:lineRule="exact"/>
        <w:ind w:leftChars="200"/>
        <w:rPr>
          <w:rFonts w:hint="eastAsia"/>
          <w:color w:val="auto"/>
          <w:szCs w:val="32"/>
        </w:rPr>
      </w:pPr>
      <w:r>
        <w:rPr>
          <w:rFonts w:hint="eastAsia"/>
          <w:color w:val="auto"/>
          <w:szCs w:val="32"/>
          <w:lang w:val="en-US" w:eastAsia="zh-CN"/>
        </w:rPr>
        <w:t>二、预算编制及执行</w:t>
      </w:r>
      <w:r>
        <w:rPr>
          <w:rFonts w:hint="eastAsia"/>
          <w:color w:val="auto"/>
          <w:szCs w:val="32"/>
        </w:rPr>
        <w:t>情况</w:t>
      </w:r>
    </w:p>
    <w:p w14:paraId="6BEDCCEB">
      <w:pPr>
        <w:pStyle w:val="5"/>
        <w:pageBreakBefore w:val="0"/>
        <w:numPr>
          <w:ilvl w:val="1"/>
          <w:numId w:val="0"/>
        </w:numPr>
        <w:kinsoku/>
        <w:wordWrap/>
        <w:overflowPunct/>
        <w:topLinePunct w:val="0"/>
        <w:autoSpaceDE/>
        <w:autoSpaceDN/>
        <w:bidi w:val="0"/>
        <w:spacing w:line="560" w:lineRule="exact"/>
        <w:ind w:leftChars="0" w:firstLine="643" w:firstLineChars="200"/>
        <w:textAlignment w:val="auto"/>
        <w:rPr>
          <w:rFonts w:hint="eastAsia"/>
          <w:color w:val="auto"/>
          <w:lang w:val="en-US" w:eastAsia="zh-CN"/>
        </w:rPr>
      </w:pPr>
      <w:r>
        <w:rPr>
          <w:rFonts w:hint="eastAsia"/>
          <w:color w:val="auto"/>
          <w:lang w:val="en-US" w:eastAsia="zh-CN"/>
        </w:rPr>
        <w:t>（一）预算</w:t>
      </w:r>
      <w:r>
        <w:rPr>
          <w:rFonts w:hint="default"/>
          <w:color w:val="auto"/>
          <w:lang w:val="en-US" w:eastAsia="zh-CN"/>
        </w:rPr>
        <w:t>编制</w:t>
      </w:r>
      <w:r>
        <w:rPr>
          <w:rFonts w:hint="eastAsia"/>
          <w:color w:val="auto"/>
          <w:lang w:val="en-US" w:eastAsia="zh-CN"/>
        </w:rPr>
        <w:t>情况</w:t>
      </w:r>
    </w:p>
    <w:p w14:paraId="1B1E0106">
      <w:pPr>
        <w:pStyle w:val="6"/>
        <w:pageBreakBefore w:val="0"/>
        <w:kinsoku/>
        <w:wordWrap/>
        <w:overflowPunct/>
        <w:topLinePunct w:val="0"/>
        <w:autoSpaceDE/>
        <w:autoSpaceDN/>
        <w:bidi w:val="0"/>
        <w:adjustRightInd/>
        <w:spacing w:line="560" w:lineRule="exact"/>
        <w:ind w:firstLine="643" w:firstLineChars="200"/>
        <w:rPr>
          <w:rFonts w:hint="eastAsia"/>
          <w:b/>
          <w:bCs w:val="0"/>
          <w:color w:val="auto"/>
        </w:rPr>
      </w:pPr>
      <w:r>
        <w:rPr>
          <w:rFonts w:hint="eastAsia"/>
          <w:b/>
          <w:bCs w:val="0"/>
          <w:color w:val="auto"/>
        </w:rPr>
        <w:t>部门收入情况</w:t>
      </w:r>
    </w:p>
    <w:p w14:paraId="2EC6A61E">
      <w:pPr>
        <w:pStyle w:val="4"/>
        <w:pageBreakBefore w:val="0"/>
        <w:kinsoku/>
        <w:wordWrap/>
        <w:overflowPunct/>
        <w:topLinePunct w:val="0"/>
        <w:autoSpaceDE/>
        <w:autoSpaceDN/>
        <w:bidi w:val="0"/>
        <w:spacing w:line="560" w:lineRule="exact"/>
        <w:ind w:firstLine="640" w:firstLineChars="200"/>
        <w:textAlignment w:val="auto"/>
        <w:rPr>
          <w:rFonts w:hint="eastAsia" w:eastAsia="仿宋_GB2312"/>
          <w:color w:val="auto"/>
          <w:szCs w:val="32"/>
          <w:lang w:val="en-US" w:eastAsia="zh-CN"/>
        </w:rPr>
      </w:pPr>
      <w:r>
        <w:rPr>
          <w:rFonts w:hint="eastAsia"/>
          <w:color w:val="auto"/>
          <w:szCs w:val="32"/>
          <w:lang w:val="en-US" w:eastAsia="zh-CN"/>
        </w:rPr>
        <w:t>2021年，市场监督管理局分局年初收入预算679.03万元，调整预算582.83万元，</w:t>
      </w:r>
      <w:r>
        <w:rPr>
          <w:color w:val="auto"/>
          <w:szCs w:val="32"/>
        </w:rPr>
        <w:t>决算</w:t>
      </w:r>
      <w:r>
        <w:rPr>
          <w:rFonts w:hint="eastAsia"/>
          <w:color w:val="auto"/>
          <w:szCs w:val="32"/>
          <w:lang w:val="en-US" w:eastAsia="zh-CN"/>
        </w:rPr>
        <w:t>582.83</w:t>
      </w:r>
      <w:r>
        <w:rPr>
          <w:color w:val="auto"/>
          <w:szCs w:val="32"/>
        </w:rPr>
        <w:t>万元。</w:t>
      </w:r>
      <w:r>
        <w:rPr>
          <w:rFonts w:hint="eastAsia"/>
          <w:color w:val="auto"/>
          <w:szCs w:val="32"/>
          <w:lang w:val="en-US" w:eastAsia="zh-CN"/>
        </w:rPr>
        <w:t>收入来源为</w:t>
      </w:r>
      <w:r>
        <w:rPr>
          <w:color w:val="auto"/>
          <w:szCs w:val="32"/>
        </w:rPr>
        <w:t>一般公共预算财政拨款</w:t>
      </w:r>
      <w:r>
        <w:rPr>
          <w:rFonts w:hint="eastAsia"/>
          <w:color w:val="auto"/>
          <w:szCs w:val="32"/>
          <w:lang w:eastAsia="zh-CN"/>
        </w:rPr>
        <w:t>。</w:t>
      </w:r>
    </w:p>
    <w:p w14:paraId="48E3048D">
      <w:pPr>
        <w:pStyle w:val="6"/>
        <w:pageBreakBefore w:val="0"/>
        <w:kinsoku/>
        <w:wordWrap/>
        <w:overflowPunct/>
        <w:topLinePunct w:val="0"/>
        <w:autoSpaceDE/>
        <w:autoSpaceDN/>
        <w:bidi w:val="0"/>
        <w:adjustRightInd/>
        <w:spacing w:line="560" w:lineRule="exact"/>
        <w:ind w:firstLine="643" w:firstLineChars="200"/>
        <w:rPr>
          <w:rFonts w:hint="eastAsia"/>
          <w:b/>
          <w:bCs w:val="0"/>
          <w:color w:val="auto"/>
        </w:rPr>
      </w:pPr>
      <w:r>
        <w:rPr>
          <w:rFonts w:hint="eastAsia"/>
          <w:b/>
          <w:bCs w:val="0"/>
          <w:color w:val="auto"/>
        </w:rPr>
        <w:t>部门支出</w:t>
      </w:r>
      <w:r>
        <w:rPr>
          <w:rFonts w:hint="eastAsia"/>
          <w:b/>
          <w:bCs w:val="0"/>
          <w:color w:val="auto"/>
          <w:lang w:val="en-US" w:eastAsia="zh-CN"/>
        </w:rPr>
        <w:t>及预算执行</w:t>
      </w:r>
      <w:r>
        <w:rPr>
          <w:rFonts w:hint="eastAsia"/>
          <w:b/>
          <w:bCs w:val="0"/>
          <w:color w:val="auto"/>
        </w:rPr>
        <w:t>情况</w:t>
      </w:r>
    </w:p>
    <w:p w14:paraId="0E854E9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
          <w:color w:val="auto"/>
          <w:sz w:val="32"/>
          <w:szCs w:val="32"/>
          <w:lang w:val="en-US" w:eastAsia="zh-CN"/>
        </w:rPr>
      </w:pPr>
      <w:r>
        <w:rPr>
          <w:rFonts w:hint="eastAsia" w:ascii="Times New Roman" w:hAnsi="Times New Roman" w:eastAsia="仿宋"/>
          <w:color w:val="auto"/>
          <w:sz w:val="32"/>
          <w:szCs w:val="32"/>
          <w:lang w:val="en-US" w:eastAsia="zh-CN"/>
        </w:rPr>
        <w:t>2021年，市场监督管理局分局年初支出预算679.03万元（其中：基本支出327.36万元，项目支出351.67万元）；调整预算为 582.83万元（其中：基本支出315.87万元，项目支出266.96万元）；决算582.83万元（其中：基本支出315.87万元，项目支出266.96万元）。</w:t>
      </w:r>
    </w:p>
    <w:p w14:paraId="3605A25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color w:val="auto"/>
        </w:rPr>
      </w:pPr>
      <w:r>
        <w:rPr>
          <w:rFonts w:hint="eastAsia" w:ascii="Times New Roman" w:hAnsi="Times New Roman" w:eastAsia="仿宋"/>
          <w:color w:val="auto"/>
          <w:sz w:val="32"/>
          <w:szCs w:val="32"/>
          <w:lang w:val="en-US" w:eastAsia="zh-CN"/>
        </w:rPr>
        <w:t>2021年收入预算执行进度100%。具体支出预决算情况见表1，项目支出明细见表2：</w:t>
      </w:r>
    </w:p>
    <w:p w14:paraId="6A80400F">
      <w:pPr>
        <w:pStyle w:val="12"/>
        <w:keepNext w:val="0"/>
        <w:keepLines w:val="0"/>
        <w:pageBreakBefore w:val="0"/>
        <w:widowControl w:val="0"/>
        <w:kinsoku/>
        <w:wordWrap/>
        <w:overflowPunct/>
        <w:topLinePunct w:val="0"/>
        <w:autoSpaceDE/>
        <w:autoSpaceDN/>
        <w:bidi w:val="0"/>
        <w:adjustRightInd/>
        <w:snapToGrid w:val="0"/>
        <w:spacing w:before="60" w:after="60" w:line="560" w:lineRule="exact"/>
        <w:ind w:left="0" w:leftChars="0" w:right="0" w:rightChars="0" w:firstLine="482" w:firstLineChars="200"/>
        <w:textAlignment w:val="auto"/>
        <w:outlineLvl w:val="9"/>
        <w:rPr>
          <w:color w:val="auto"/>
        </w:rPr>
      </w:pPr>
      <w:r>
        <w:rPr>
          <w:rFonts w:hint="eastAsia"/>
          <w:color w:val="auto"/>
        </w:rPr>
        <w:t>表</w:t>
      </w:r>
      <w:r>
        <w:rPr>
          <w:rFonts w:hint="eastAsia"/>
          <w:color w:val="auto"/>
          <w:lang w:val="en-US" w:eastAsia="zh-CN"/>
        </w:rPr>
        <w:t>1</w:t>
      </w:r>
      <w:r>
        <w:rPr>
          <w:color w:val="auto"/>
        </w:rPr>
        <w:t xml:space="preserve">  20</w:t>
      </w:r>
      <w:r>
        <w:rPr>
          <w:rFonts w:hint="eastAsia"/>
          <w:color w:val="auto"/>
          <w:lang w:val="en-US" w:eastAsia="zh-CN"/>
        </w:rPr>
        <w:t>21</w:t>
      </w:r>
      <w:r>
        <w:rPr>
          <w:color w:val="auto"/>
        </w:rPr>
        <w:t>年</w:t>
      </w:r>
      <w:r>
        <w:rPr>
          <w:rFonts w:hint="eastAsia"/>
          <w:color w:val="auto"/>
          <w:lang w:val="en-US" w:eastAsia="zh-CN"/>
        </w:rPr>
        <w:t>市场监督管理局分局支出</w:t>
      </w:r>
      <w:r>
        <w:rPr>
          <w:color w:val="auto"/>
        </w:rPr>
        <w:t>预决算情况表</w:t>
      </w:r>
    </w:p>
    <w:p w14:paraId="1BC52F31">
      <w:pPr>
        <w:pStyle w:val="12"/>
        <w:keepNext w:val="0"/>
        <w:keepLines w:val="0"/>
        <w:pageBreakBefore w:val="0"/>
        <w:widowControl w:val="0"/>
        <w:kinsoku/>
        <w:wordWrap/>
        <w:overflowPunct/>
        <w:topLinePunct w:val="0"/>
        <w:autoSpaceDE/>
        <w:autoSpaceDN/>
        <w:bidi w:val="0"/>
        <w:adjustRightInd/>
        <w:snapToGrid w:val="0"/>
        <w:spacing w:before="60" w:after="60" w:line="560" w:lineRule="exact"/>
        <w:ind w:left="0" w:leftChars="0" w:right="0" w:rightChars="0" w:firstLine="480" w:firstLineChars="200"/>
        <w:jc w:val="right"/>
        <w:textAlignment w:val="auto"/>
        <w:outlineLvl w:val="9"/>
        <w:rPr>
          <w:b w:val="0"/>
          <w:bCs/>
          <w:color w:val="auto"/>
        </w:rPr>
      </w:pPr>
      <w:r>
        <w:rPr>
          <w:rFonts w:hint="eastAsia"/>
          <w:b w:val="0"/>
          <w:bCs/>
          <w:color w:val="auto"/>
        </w:rPr>
        <w:t>单位</w:t>
      </w:r>
      <w:r>
        <w:rPr>
          <w:b w:val="0"/>
          <w:bCs/>
          <w:color w:val="auto"/>
        </w:rPr>
        <w:t>：万元</w:t>
      </w:r>
    </w:p>
    <w:tbl>
      <w:tblPr>
        <w:tblStyle w:val="10"/>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2"/>
        <w:gridCol w:w="1768"/>
        <w:gridCol w:w="1768"/>
        <w:gridCol w:w="1768"/>
        <w:gridCol w:w="1768"/>
      </w:tblGrid>
      <w:tr w14:paraId="3FD48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997" w:type="pct"/>
            <w:vAlign w:val="center"/>
          </w:tcPr>
          <w:p w14:paraId="2FC4975F">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eastAsia="宋体" w:cs="宋体"/>
                <w:b/>
                <w:bCs w:val="0"/>
                <w:color w:val="auto"/>
                <w:kern w:val="0"/>
                <w:sz w:val="22"/>
                <w:szCs w:val="22"/>
                <w:lang w:val="zh-CN" w:eastAsia="zh-CN" w:bidi="ar-SA"/>
              </w:rPr>
            </w:pPr>
            <w:r>
              <w:rPr>
                <w:rFonts w:hint="eastAsia" w:ascii="Times New Roman" w:hAnsi="Times New Roman" w:eastAsia="宋体" w:cs="宋体"/>
                <w:b/>
                <w:bCs w:val="0"/>
                <w:color w:val="auto"/>
                <w:kern w:val="0"/>
                <w:sz w:val="22"/>
                <w:szCs w:val="22"/>
                <w:lang w:val="zh-CN" w:eastAsia="zh-CN" w:bidi="ar-SA"/>
              </w:rPr>
              <w:t>类别</w:t>
            </w:r>
          </w:p>
        </w:tc>
        <w:tc>
          <w:tcPr>
            <w:tcW w:w="1000" w:type="pct"/>
            <w:vAlign w:val="center"/>
          </w:tcPr>
          <w:p w14:paraId="5220335C">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eastAsia="宋体" w:cs="宋体"/>
                <w:b/>
                <w:bCs w:val="0"/>
                <w:color w:val="auto"/>
                <w:kern w:val="0"/>
                <w:sz w:val="22"/>
                <w:szCs w:val="22"/>
                <w:lang w:val="zh-CN" w:eastAsia="zh-CN" w:bidi="ar-SA"/>
              </w:rPr>
            </w:pPr>
            <w:r>
              <w:rPr>
                <w:rFonts w:hint="eastAsia" w:ascii="Times New Roman" w:hAnsi="Times New Roman" w:eastAsia="宋体" w:cs="宋体"/>
                <w:b/>
                <w:bCs w:val="0"/>
                <w:color w:val="auto"/>
                <w:kern w:val="0"/>
                <w:sz w:val="22"/>
                <w:szCs w:val="22"/>
                <w:lang w:val="zh-CN" w:eastAsia="zh-CN" w:bidi="ar-SA"/>
              </w:rPr>
              <w:t>预算数</w:t>
            </w:r>
          </w:p>
        </w:tc>
        <w:tc>
          <w:tcPr>
            <w:tcW w:w="1000" w:type="pct"/>
            <w:vAlign w:val="center"/>
          </w:tcPr>
          <w:p w14:paraId="2339015D">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hint="default" w:ascii="Times New Roman" w:hAnsi="Times New Roman" w:eastAsia="宋体" w:cs="宋体"/>
                <w:b/>
                <w:bCs w:val="0"/>
                <w:color w:val="auto"/>
                <w:kern w:val="0"/>
                <w:sz w:val="22"/>
                <w:szCs w:val="22"/>
                <w:lang w:val="en-US" w:eastAsia="zh-CN" w:bidi="ar-SA"/>
              </w:rPr>
            </w:pPr>
            <w:r>
              <w:rPr>
                <w:rFonts w:hint="eastAsia" w:ascii="Times New Roman" w:hAnsi="Times New Roman" w:eastAsia="宋体" w:cs="宋体"/>
                <w:b/>
                <w:bCs w:val="0"/>
                <w:color w:val="auto"/>
                <w:kern w:val="0"/>
                <w:sz w:val="22"/>
                <w:szCs w:val="22"/>
                <w:lang w:val="en-US" w:eastAsia="zh-CN" w:bidi="ar-SA"/>
              </w:rPr>
              <w:t>调整数</w:t>
            </w:r>
          </w:p>
        </w:tc>
        <w:tc>
          <w:tcPr>
            <w:tcW w:w="1000" w:type="pct"/>
            <w:vAlign w:val="center"/>
          </w:tcPr>
          <w:p w14:paraId="0DC34F7A">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eastAsia="宋体" w:cs="宋体"/>
                <w:b/>
                <w:bCs w:val="0"/>
                <w:color w:val="auto"/>
                <w:kern w:val="0"/>
                <w:sz w:val="22"/>
                <w:szCs w:val="22"/>
                <w:lang w:val="zh-CN" w:eastAsia="zh-CN" w:bidi="ar-SA"/>
              </w:rPr>
            </w:pPr>
            <w:r>
              <w:rPr>
                <w:rFonts w:hint="eastAsia" w:ascii="Times New Roman" w:hAnsi="Times New Roman" w:eastAsia="宋体" w:cs="宋体"/>
                <w:b/>
                <w:bCs w:val="0"/>
                <w:color w:val="auto"/>
                <w:kern w:val="0"/>
                <w:sz w:val="22"/>
                <w:szCs w:val="22"/>
                <w:lang w:val="zh-CN" w:eastAsia="zh-CN" w:bidi="ar-SA"/>
              </w:rPr>
              <w:t>决算数</w:t>
            </w:r>
          </w:p>
        </w:tc>
        <w:tc>
          <w:tcPr>
            <w:tcW w:w="1000" w:type="pct"/>
            <w:vAlign w:val="center"/>
          </w:tcPr>
          <w:p w14:paraId="673A7ABB">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宋体" w:cs="宋体"/>
                <w:b/>
                <w:bCs w:val="0"/>
                <w:color w:val="auto"/>
                <w:kern w:val="0"/>
                <w:sz w:val="22"/>
                <w:szCs w:val="22"/>
                <w:lang w:val="en-US" w:eastAsia="zh-Hans" w:bidi="ar-SA"/>
              </w:rPr>
            </w:pPr>
            <w:r>
              <w:rPr>
                <w:rFonts w:hint="eastAsia" w:ascii="Times New Roman" w:hAnsi="Times New Roman" w:eastAsia="宋体" w:cs="宋体"/>
                <w:b/>
                <w:bCs w:val="0"/>
                <w:color w:val="auto"/>
                <w:kern w:val="0"/>
                <w:sz w:val="22"/>
                <w:szCs w:val="22"/>
                <w:lang w:val="en-US" w:eastAsia="zh-Hans" w:bidi="ar-SA"/>
              </w:rPr>
              <w:t>预算执行率</w:t>
            </w:r>
          </w:p>
        </w:tc>
      </w:tr>
      <w:tr w14:paraId="2B65F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997" w:type="pct"/>
            <w:vAlign w:val="center"/>
          </w:tcPr>
          <w:p w14:paraId="04CBDDC9">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eastAsia="宋体" w:cs="宋体"/>
                <w:bCs/>
                <w:color w:val="auto"/>
                <w:kern w:val="0"/>
                <w:sz w:val="22"/>
                <w:szCs w:val="22"/>
                <w:lang w:val="zh-CN" w:eastAsia="zh-CN" w:bidi="ar-SA"/>
              </w:rPr>
            </w:pPr>
            <w:r>
              <w:rPr>
                <w:rFonts w:hint="eastAsia" w:ascii="Times New Roman" w:hAnsi="Times New Roman" w:eastAsia="宋体" w:cs="宋体"/>
                <w:bCs/>
                <w:color w:val="auto"/>
                <w:kern w:val="0"/>
                <w:sz w:val="22"/>
                <w:szCs w:val="22"/>
                <w:lang w:val="zh-CN" w:eastAsia="zh-CN" w:bidi="ar-SA"/>
              </w:rPr>
              <w:t>基本支出</w:t>
            </w:r>
          </w:p>
        </w:tc>
        <w:tc>
          <w:tcPr>
            <w:tcW w:w="1000" w:type="pct"/>
            <w:vAlign w:val="center"/>
          </w:tcPr>
          <w:p w14:paraId="03520E76">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327.36</w:t>
            </w:r>
          </w:p>
        </w:tc>
        <w:tc>
          <w:tcPr>
            <w:tcW w:w="1000" w:type="pct"/>
            <w:vAlign w:val="center"/>
          </w:tcPr>
          <w:p w14:paraId="0139FFA3">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315.87</w:t>
            </w:r>
          </w:p>
        </w:tc>
        <w:tc>
          <w:tcPr>
            <w:tcW w:w="1768" w:type="dxa"/>
            <w:vAlign w:val="center"/>
          </w:tcPr>
          <w:p w14:paraId="643715C0">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315.87</w:t>
            </w:r>
          </w:p>
        </w:tc>
        <w:tc>
          <w:tcPr>
            <w:tcW w:w="1768" w:type="dxa"/>
            <w:vAlign w:val="center"/>
          </w:tcPr>
          <w:p w14:paraId="73416DE5">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100.00%</w:t>
            </w:r>
          </w:p>
        </w:tc>
      </w:tr>
      <w:tr w14:paraId="3B272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997" w:type="pct"/>
            <w:vAlign w:val="center"/>
          </w:tcPr>
          <w:p w14:paraId="6C009438">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eastAsia="宋体" w:cs="宋体"/>
                <w:bCs/>
                <w:color w:val="auto"/>
                <w:kern w:val="0"/>
                <w:sz w:val="22"/>
                <w:szCs w:val="22"/>
                <w:lang w:val="zh-CN" w:eastAsia="zh-CN" w:bidi="ar-SA"/>
              </w:rPr>
            </w:pPr>
            <w:r>
              <w:rPr>
                <w:rFonts w:hint="eastAsia" w:ascii="Times New Roman" w:hAnsi="Times New Roman" w:eastAsia="宋体" w:cs="宋体"/>
                <w:bCs/>
                <w:color w:val="auto"/>
                <w:kern w:val="0"/>
                <w:sz w:val="22"/>
                <w:szCs w:val="22"/>
                <w:lang w:val="zh-CN" w:eastAsia="zh-CN" w:bidi="ar-SA"/>
              </w:rPr>
              <w:t>项目支出</w:t>
            </w:r>
          </w:p>
        </w:tc>
        <w:tc>
          <w:tcPr>
            <w:tcW w:w="1000" w:type="pct"/>
            <w:vAlign w:val="center"/>
          </w:tcPr>
          <w:p w14:paraId="21B89219">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351.67</w:t>
            </w:r>
          </w:p>
        </w:tc>
        <w:tc>
          <w:tcPr>
            <w:tcW w:w="1000" w:type="pct"/>
            <w:vAlign w:val="center"/>
          </w:tcPr>
          <w:p w14:paraId="0242384F">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266.96</w:t>
            </w:r>
          </w:p>
        </w:tc>
        <w:tc>
          <w:tcPr>
            <w:tcW w:w="1768" w:type="dxa"/>
            <w:vAlign w:val="center"/>
          </w:tcPr>
          <w:p w14:paraId="7C18D085">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266.96</w:t>
            </w:r>
          </w:p>
        </w:tc>
        <w:tc>
          <w:tcPr>
            <w:tcW w:w="1768" w:type="dxa"/>
            <w:vAlign w:val="center"/>
          </w:tcPr>
          <w:p w14:paraId="6EEA2088">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zh-CN" w:eastAsia="zh-CN" w:bidi="ar"/>
              </w:rPr>
            </w:pPr>
            <w:r>
              <w:rPr>
                <w:rFonts w:hint="eastAsia" w:ascii="仿宋" w:hAnsi="仿宋" w:eastAsia="仿宋" w:cs="仿宋"/>
                <w:i w:val="0"/>
                <w:iCs w:val="0"/>
                <w:color w:val="auto"/>
                <w:kern w:val="0"/>
                <w:sz w:val="22"/>
                <w:szCs w:val="22"/>
                <w:u w:val="none"/>
                <w:lang w:val="en-US" w:eastAsia="zh-CN" w:bidi="ar"/>
              </w:rPr>
              <w:t>100.00%</w:t>
            </w:r>
          </w:p>
        </w:tc>
      </w:tr>
      <w:tr w14:paraId="3E4F0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997" w:type="pct"/>
            <w:vAlign w:val="center"/>
          </w:tcPr>
          <w:p w14:paraId="1672CDA9">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hint="default" w:ascii="Times New Roman" w:hAnsi="Times New Roman" w:eastAsia="宋体" w:cs="宋体"/>
                <w:bCs/>
                <w:color w:val="auto"/>
                <w:kern w:val="0"/>
                <w:sz w:val="22"/>
                <w:szCs w:val="22"/>
                <w:lang w:val="en-US" w:eastAsia="zh-CN" w:bidi="ar-SA"/>
              </w:rPr>
            </w:pPr>
            <w:r>
              <w:rPr>
                <w:rFonts w:hint="eastAsia" w:ascii="Times New Roman" w:hAnsi="Times New Roman" w:eastAsia="宋体" w:cs="宋体"/>
                <w:bCs/>
                <w:color w:val="auto"/>
                <w:kern w:val="0"/>
                <w:sz w:val="22"/>
                <w:szCs w:val="22"/>
                <w:lang w:val="en-US" w:eastAsia="zh-CN" w:bidi="ar-SA"/>
              </w:rPr>
              <w:t>合计</w:t>
            </w:r>
          </w:p>
        </w:tc>
        <w:tc>
          <w:tcPr>
            <w:tcW w:w="1000" w:type="pct"/>
            <w:vAlign w:val="center"/>
          </w:tcPr>
          <w:p w14:paraId="6CA9C5B3">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679.03</w:t>
            </w:r>
          </w:p>
        </w:tc>
        <w:tc>
          <w:tcPr>
            <w:tcW w:w="1000" w:type="pct"/>
            <w:vAlign w:val="center"/>
          </w:tcPr>
          <w:p w14:paraId="688554DD">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582.83</w:t>
            </w:r>
          </w:p>
        </w:tc>
        <w:tc>
          <w:tcPr>
            <w:tcW w:w="1768" w:type="dxa"/>
            <w:vAlign w:val="center"/>
          </w:tcPr>
          <w:p w14:paraId="0FA4E8F3">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582.83</w:t>
            </w:r>
          </w:p>
        </w:tc>
        <w:tc>
          <w:tcPr>
            <w:tcW w:w="1768" w:type="dxa"/>
            <w:vAlign w:val="center"/>
          </w:tcPr>
          <w:p w14:paraId="60C3D900">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100.00%</w:t>
            </w:r>
          </w:p>
        </w:tc>
      </w:tr>
    </w:tbl>
    <w:p w14:paraId="742FB2B2">
      <w:pPr>
        <w:pStyle w:val="12"/>
        <w:pageBreakBefore w:val="0"/>
        <w:kinsoku/>
        <w:wordWrap/>
        <w:overflowPunct/>
        <w:topLinePunct w:val="0"/>
        <w:autoSpaceDE/>
        <w:autoSpaceDN/>
        <w:bidi w:val="0"/>
        <w:snapToGrid w:val="0"/>
        <w:spacing w:before="60" w:line="560" w:lineRule="exact"/>
        <w:ind w:left="0" w:leftChars="0" w:firstLine="482" w:firstLineChars="200"/>
        <w:outlineLvl w:val="9"/>
        <w:rPr>
          <w:rFonts w:hint="eastAsia"/>
          <w:color w:val="auto"/>
        </w:rPr>
      </w:pPr>
    </w:p>
    <w:p w14:paraId="7B815523">
      <w:pPr>
        <w:pStyle w:val="12"/>
        <w:pageBreakBefore w:val="0"/>
        <w:kinsoku/>
        <w:wordWrap/>
        <w:overflowPunct/>
        <w:topLinePunct w:val="0"/>
        <w:autoSpaceDE/>
        <w:autoSpaceDN/>
        <w:bidi w:val="0"/>
        <w:snapToGrid w:val="0"/>
        <w:spacing w:before="60" w:line="560" w:lineRule="exact"/>
        <w:ind w:left="0" w:leftChars="0" w:firstLine="482" w:firstLineChars="200"/>
        <w:outlineLvl w:val="9"/>
        <w:rPr>
          <w:rFonts w:hint="eastAsia"/>
          <w:color w:val="auto"/>
        </w:rPr>
      </w:pPr>
      <w:r>
        <w:rPr>
          <w:rFonts w:hint="eastAsia"/>
          <w:color w:val="auto"/>
        </w:rPr>
        <w:t>表</w:t>
      </w:r>
      <w:r>
        <w:rPr>
          <w:rFonts w:hint="eastAsia"/>
          <w:color w:val="auto"/>
          <w:lang w:val="en-US" w:eastAsia="zh-CN"/>
        </w:rPr>
        <w:t xml:space="preserve">2 </w:t>
      </w:r>
      <w:r>
        <w:rPr>
          <w:color w:val="auto"/>
        </w:rPr>
        <w:t xml:space="preserve"> 20</w:t>
      </w:r>
      <w:r>
        <w:rPr>
          <w:rFonts w:hint="eastAsia"/>
          <w:color w:val="auto"/>
          <w:lang w:val="en-US" w:eastAsia="zh-CN"/>
        </w:rPr>
        <w:t>21</w:t>
      </w:r>
      <w:r>
        <w:rPr>
          <w:color w:val="auto"/>
        </w:rPr>
        <w:t>年</w:t>
      </w:r>
      <w:r>
        <w:rPr>
          <w:rFonts w:hint="eastAsia"/>
          <w:color w:val="auto"/>
          <w:lang w:val="en-US" w:eastAsia="zh-CN"/>
        </w:rPr>
        <w:t>市场监督管理局分局</w:t>
      </w:r>
      <w:r>
        <w:rPr>
          <w:rFonts w:hint="eastAsia"/>
          <w:color w:val="auto"/>
        </w:rPr>
        <w:t>项目支出明细表</w:t>
      </w:r>
    </w:p>
    <w:p w14:paraId="695D7C03">
      <w:pPr>
        <w:pStyle w:val="12"/>
        <w:pageBreakBefore w:val="0"/>
        <w:kinsoku/>
        <w:wordWrap/>
        <w:overflowPunct/>
        <w:topLinePunct w:val="0"/>
        <w:autoSpaceDE/>
        <w:autoSpaceDN/>
        <w:bidi w:val="0"/>
        <w:snapToGrid w:val="0"/>
        <w:spacing w:before="60" w:line="560" w:lineRule="exact"/>
        <w:ind w:left="0" w:leftChars="0" w:firstLine="480" w:firstLineChars="200"/>
        <w:jc w:val="right"/>
        <w:outlineLvl w:val="9"/>
        <w:rPr>
          <w:rFonts w:hint="eastAsia"/>
          <w:b w:val="0"/>
          <w:bCs/>
          <w:color w:val="auto"/>
          <w:lang w:val="en-US" w:eastAsia="zh-CN"/>
        </w:rPr>
      </w:pPr>
      <w:r>
        <w:rPr>
          <w:rFonts w:hint="eastAsia"/>
          <w:b w:val="0"/>
          <w:bCs/>
          <w:color w:val="auto"/>
          <w:lang w:val="en-US" w:eastAsia="zh-CN"/>
        </w:rPr>
        <w:t>单位：万元</w:t>
      </w:r>
    </w:p>
    <w:tbl>
      <w:tblPr>
        <w:tblStyle w:val="10"/>
        <w:tblW w:w="4997" w:type="pct"/>
        <w:tblInd w:w="0" w:type="dxa"/>
        <w:shd w:val="clear" w:color="auto" w:fill="auto"/>
        <w:tblLayout w:type="autofit"/>
        <w:tblCellMar>
          <w:top w:w="0" w:type="dxa"/>
          <w:left w:w="108" w:type="dxa"/>
          <w:bottom w:w="0" w:type="dxa"/>
          <w:right w:w="108" w:type="dxa"/>
        </w:tblCellMar>
      </w:tblPr>
      <w:tblGrid>
        <w:gridCol w:w="703"/>
        <w:gridCol w:w="2684"/>
        <w:gridCol w:w="1387"/>
        <w:gridCol w:w="1384"/>
        <w:gridCol w:w="1350"/>
        <w:gridCol w:w="1323"/>
      </w:tblGrid>
      <w:tr w14:paraId="3F18F5B4">
        <w:tblPrEx>
          <w:shd w:val="clear" w:color="auto" w:fill="auto"/>
          <w:tblCellMar>
            <w:top w:w="0" w:type="dxa"/>
            <w:left w:w="108" w:type="dxa"/>
            <w:bottom w:w="0" w:type="dxa"/>
            <w:right w:w="108" w:type="dxa"/>
          </w:tblCellMar>
        </w:tblPrEx>
        <w:trPr>
          <w:trHeight w:val="692"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B4D20A">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b/>
                <w:bCs/>
                <w:i w:val="0"/>
                <w:iCs w:val="0"/>
                <w:color w:val="auto"/>
                <w:sz w:val="22"/>
                <w:szCs w:val="22"/>
                <w:u w:val="none"/>
              </w:rPr>
            </w:pPr>
            <w:r>
              <w:rPr>
                <w:rFonts w:hint="eastAsia" w:ascii="仿宋" w:hAnsi="仿宋" w:eastAsia="仿宋" w:cs="仿宋"/>
                <w:b/>
                <w:bCs/>
                <w:i w:val="0"/>
                <w:iCs w:val="0"/>
                <w:color w:val="auto"/>
                <w:kern w:val="0"/>
                <w:sz w:val="22"/>
                <w:szCs w:val="22"/>
                <w:u w:val="none"/>
                <w:lang w:val="en-US" w:eastAsia="zh-CN" w:bidi="ar"/>
              </w:rPr>
              <w:t>序号</w:t>
            </w:r>
          </w:p>
        </w:tc>
        <w:tc>
          <w:tcPr>
            <w:tcW w:w="1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12D1AE">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b/>
                <w:bCs/>
                <w:i w:val="0"/>
                <w:iCs w:val="0"/>
                <w:color w:val="auto"/>
                <w:sz w:val="22"/>
                <w:szCs w:val="22"/>
                <w:u w:val="none"/>
              </w:rPr>
            </w:pPr>
            <w:r>
              <w:rPr>
                <w:rFonts w:hint="eastAsia" w:ascii="仿宋" w:hAnsi="仿宋" w:eastAsia="仿宋" w:cs="仿宋"/>
                <w:b/>
                <w:bCs/>
                <w:i w:val="0"/>
                <w:iCs w:val="0"/>
                <w:color w:val="auto"/>
                <w:kern w:val="0"/>
                <w:sz w:val="22"/>
                <w:szCs w:val="22"/>
                <w:u w:val="none"/>
                <w:lang w:val="en-US" w:eastAsia="zh-CN" w:bidi="ar"/>
              </w:rPr>
              <w:t>项目类别</w:t>
            </w:r>
            <w:r>
              <w:rPr>
                <w:rStyle w:val="13"/>
                <w:rFonts w:hint="eastAsia" w:ascii="仿宋" w:hAnsi="仿宋" w:eastAsia="仿宋" w:cs="仿宋"/>
                <w:color w:val="auto"/>
                <w:lang w:val="en-US" w:eastAsia="zh-CN" w:bidi="ar"/>
              </w:rPr>
              <w:t>/</w:t>
            </w:r>
            <w:r>
              <w:rPr>
                <w:rStyle w:val="14"/>
                <w:rFonts w:ascii="仿宋" w:hAnsi="仿宋" w:eastAsia="仿宋" w:cs="仿宋"/>
                <w:color w:val="auto"/>
                <w:lang w:val="en-US" w:eastAsia="zh-CN" w:bidi="ar"/>
              </w:rPr>
              <w:t>名称</w:t>
            </w:r>
          </w:p>
        </w:tc>
        <w:tc>
          <w:tcPr>
            <w:tcW w:w="7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D37ED6">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b/>
                <w:bCs/>
                <w:i w:val="0"/>
                <w:iCs w:val="0"/>
                <w:color w:val="auto"/>
                <w:sz w:val="22"/>
                <w:szCs w:val="22"/>
                <w:u w:val="none"/>
              </w:rPr>
            </w:pPr>
            <w:r>
              <w:rPr>
                <w:rFonts w:hint="eastAsia" w:ascii="仿宋" w:hAnsi="仿宋" w:eastAsia="仿宋" w:cs="仿宋"/>
                <w:b/>
                <w:bCs/>
                <w:i w:val="0"/>
                <w:iCs w:val="0"/>
                <w:color w:val="auto"/>
                <w:kern w:val="0"/>
                <w:sz w:val="22"/>
                <w:szCs w:val="22"/>
                <w:u w:val="none"/>
                <w:lang w:val="en-US" w:eastAsia="zh-CN" w:bidi="ar"/>
              </w:rPr>
              <w:t>年初预算数</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A96B4D">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b/>
                <w:bCs/>
                <w:i w:val="0"/>
                <w:iCs w:val="0"/>
                <w:color w:val="auto"/>
                <w:kern w:val="0"/>
                <w:sz w:val="22"/>
                <w:szCs w:val="22"/>
                <w:u w:val="none"/>
                <w:lang w:val="en-US" w:eastAsia="zh-CN" w:bidi="ar"/>
              </w:rPr>
            </w:pPr>
            <w:r>
              <w:rPr>
                <w:rFonts w:hint="eastAsia" w:ascii="仿宋" w:hAnsi="仿宋" w:eastAsia="仿宋" w:cs="仿宋"/>
                <w:b/>
                <w:bCs/>
                <w:i w:val="0"/>
                <w:iCs w:val="0"/>
                <w:color w:val="auto"/>
                <w:kern w:val="0"/>
                <w:sz w:val="22"/>
                <w:szCs w:val="22"/>
                <w:u w:val="none"/>
                <w:lang w:val="en-US" w:eastAsia="zh-CN" w:bidi="ar"/>
              </w:rPr>
              <w:t>调整预算数</w:t>
            </w:r>
          </w:p>
        </w:tc>
        <w:tc>
          <w:tcPr>
            <w:tcW w:w="7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DBD3D9">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b/>
                <w:bCs/>
                <w:i w:val="0"/>
                <w:iCs w:val="0"/>
                <w:color w:val="auto"/>
                <w:sz w:val="22"/>
                <w:szCs w:val="22"/>
                <w:u w:val="none"/>
              </w:rPr>
            </w:pPr>
            <w:r>
              <w:rPr>
                <w:rFonts w:hint="eastAsia" w:ascii="仿宋" w:hAnsi="仿宋" w:eastAsia="仿宋" w:cs="仿宋"/>
                <w:b/>
                <w:bCs/>
                <w:i w:val="0"/>
                <w:iCs w:val="0"/>
                <w:color w:val="auto"/>
                <w:kern w:val="0"/>
                <w:sz w:val="22"/>
                <w:szCs w:val="22"/>
                <w:u w:val="none"/>
                <w:lang w:val="en-US" w:eastAsia="zh-CN" w:bidi="ar"/>
              </w:rPr>
              <w:t>实际支出数</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DCCF60">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b/>
                <w:bCs/>
                <w:i w:val="0"/>
                <w:iCs w:val="0"/>
                <w:color w:val="auto"/>
                <w:sz w:val="22"/>
                <w:szCs w:val="22"/>
                <w:u w:val="none"/>
              </w:rPr>
            </w:pPr>
            <w:r>
              <w:rPr>
                <w:rFonts w:hint="eastAsia" w:ascii="仿宋" w:hAnsi="仿宋" w:eastAsia="仿宋" w:cs="仿宋"/>
                <w:b/>
                <w:bCs/>
                <w:i w:val="0"/>
                <w:iCs w:val="0"/>
                <w:color w:val="auto"/>
                <w:kern w:val="0"/>
                <w:sz w:val="22"/>
                <w:szCs w:val="22"/>
                <w:u w:val="none"/>
                <w:lang w:val="en-US" w:eastAsia="zh-CN" w:bidi="ar"/>
              </w:rPr>
              <w:t>预算执行率</w:t>
            </w:r>
          </w:p>
        </w:tc>
      </w:tr>
      <w:tr w14:paraId="05D92BE5">
        <w:tblPrEx>
          <w:tblCellMar>
            <w:top w:w="0" w:type="dxa"/>
            <w:left w:w="108" w:type="dxa"/>
            <w:bottom w:w="0" w:type="dxa"/>
            <w:right w:w="108" w:type="dxa"/>
          </w:tblCellMar>
        </w:tblPrEx>
        <w:trPr>
          <w:trHeight w:val="543"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8A58BB">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1</w:t>
            </w:r>
          </w:p>
        </w:tc>
        <w:tc>
          <w:tcPr>
            <w:tcW w:w="1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CC8AF9">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宋体" w:cs="宋体"/>
                <w:bCs/>
                <w:color w:val="auto"/>
                <w:kern w:val="0"/>
                <w:sz w:val="22"/>
                <w:szCs w:val="22"/>
                <w:lang w:val="zh-CN" w:eastAsia="zh-CN" w:bidi="ar-SA"/>
              </w:rPr>
            </w:pPr>
            <w:r>
              <w:rPr>
                <w:rFonts w:hint="eastAsia" w:ascii="Times New Roman" w:hAnsi="Times New Roman" w:eastAsia="宋体" w:cs="宋体"/>
                <w:bCs/>
                <w:color w:val="auto"/>
                <w:kern w:val="0"/>
                <w:sz w:val="22"/>
                <w:szCs w:val="22"/>
                <w:lang w:val="en-US" w:eastAsia="zh-CN" w:bidi="ar-SA"/>
              </w:rPr>
              <w:t xml:space="preserve"> 电动巡逻车运行维护费 </w:t>
            </w:r>
          </w:p>
        </w:tc>
        <w:tc>
          <w:tcPr>
            <w:tcW w:w="7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AC4A85">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9</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 xml:space="preserve">00 </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0ECEF5">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6</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4</w:t>
            </w:r>
            <w:r>
              <w:rPr>
                <w:rFonts w:hint="eastAsia" w:ascii="仿宋" w:hAnsi="仿宋" w:eastAsia="仿宋" w:cs="仿宋"/>
                <w:i w:val="0"/>
                <w:iCs w:val="0"/>
                <w:color w:val="auto"/>
                <w:kern w:val="0"/>
                <w:sz w:val="22"/>
                <w:szCs w:val="22"/>
                <w:u w:val="none"/>
                <w:lang w:val="en-US" w:eastAsia="zh-CN" w:bidi="ar"/>
              </w:rPr>
              <w:t>8</w:t>
            </w:r>
            <w:r>
              <w:rPr>
                <w:rFonts w:hint="default" w:ascii="仿宋" w:hAnsi="仿宋" w:eastAsia="仿宋" w:cs="仿宋"/>
                <w:i w:val="0"/>
                <w:iCs w:val="0"/>
                <w:color w:val="auto"/>
                <w:kern w:val="0"/>
                <w:sz w:val="22"/>
                <w:szCs w:val="22"/>
                <w:u w:val="none"/>
                <w:lang w:val="en-US" w:eastAsia="zh-CN" w:bidi="ar"/>
              </w:rPr>
              <w:t xml:space="preserve"> </w:t>
            </w:r>
          </w:p>
        </w:tc>
        <w:tc>
          <w:tcPr>
            <w:tcW w:w="7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39DF46">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6</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4</w:t>
            </w:r>
            <w:r>
              <w:rPr>
                <w:rFonts w:hint="eastAsia" w:ascii="仿宋" w:hAnsi="仿宋" w:eastAsia="仿宋" w:cs="仿宋"/>
                <w:i w:val="0"/>
                <w:iCs w:val="0"/>
                <w:color w:val="auto"/>
                <w:kern w:val="0"/>
                <w:sz w:val="22"/>
                <w:szCs w:val="22"/>
                <w:u w:val="none"/>
                <w:lang w:val="en-US" w:eastAsia="zh-CN" w:bidi="ar"/>
              </w:rPr>
              <w:t>8</w:t>
            </w:r>
            <w:r>
              <w:rPr>
                <w:rFonts w:hint="default" w:ascii="仿宋" w:hAnsi="仿宋" w:eastAsia="仿宋" w:cs="仿宋"/>
                <w:i w:val="0"/>
                <w:iCs w:val="0"/>
                <w:color w:val="auto"/>
                <w:kern w:val="0"/>
                <w:sz w:val="22"/>
                <w:szCs w:val="22"/>
                <w:u w:val="none"/>
                <w:lang w:val="en-US" w:eastAsia="zh-CN" w:bidi="ar"/>
              </w:rPr>
              <w:t xml:space="preserve"> </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52A99E">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100.00%</w:t>
            </w:r>
          </w:p>
        </w:tc>
      </w:tr>
      <w:tr w14:paraId="50C23869">
        <w:tblPrEx>
          <w:tblCellMar>
            <w:top w:w="0" w:type="dxa"/>
            <w:left w:w="108" w:type="dxa"/>
            <w:bottom w:w="0" w:type="dxa"/>
            <w:right w:w="108" w:type="dxa"/>
          </w:tblCellMar>
        </w:tblPrEx>
        <w:trPr>
          <w:trHeight w:val="357"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1FE3B0">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2</w:t>
            </w:r>
          </w:p>
        </w:tc>
        <w:tc>
          <w:tcPr>
            <w:tcW w:w="1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3DA6F6">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宋体" w:cs="宋体"/>
                <w:bCs/>
                <w:color w:val="auto"/>
                <w:kern w:val="0"/>
                <w:sz w:val="22"/>
                <w:szCs w:val="22"/>
                <w:lang w:val="zh-CN" w:eastAsia="zh-CN" w:bidi="ar-SA"/>
              </w:rPr>
            </w:pPr>
            <w:r>
              <w:rPr>
                <w:rFonts w:hint="eastAsia" w:ascii="Times New Roman" w:hAnsi="Times New Roman" w:eastAsia="宋体" w:cs="宋体"/>
                <w:bCs/>
                <w:color w:val="auto"/>
                <w:kern w:val="0"/>
                <w:sz w:val="22"/>
                <w:szCs w:val="22"/>
                <w:lang w:val="en-US" w:eastAsia="zh-CN" w:bidi="ar-SA"/>
              </w:rPr>
              <w:t xml:space="preserve"> 个协工作经费 </w:t>
            </w:r>
          </w:p>
        </w:tc>
        <w:tc>
          <w:tcPr>
            <w:tcW w:w="7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E93C20">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14</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 xml:space="preserve">00 </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472C15">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6</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0</w:t>
            </w:r>
            <w:r>
              <w:rPr>
                <w:rFonts w:hint="eastAsia" w:ascii="仿宋" w:hAnsi="仿宋" w:eastAsia="仿宋" w:cs="仿宋"/>
                <w:i w:val="0"/>
                <w:iCs w:val="0"/>
                <w:color w:val="auto"/>
                <w:kern w:val="0"/>
                <w:sz w:val="22"/>
                <w:szCs w:val="22"/>
                <w:u w:val="none"/>
                <w:lang w:val="en-US" w:eastAsia="zh-CN" w:bidi="ar"/>
              </w:rPr>
              <w:t>4</w:t>
            </w:r>
          </w:p>
        </w:tc>
        <w:tc>
          <w:tcPr>
            <w:tcW w:w="7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1676D8">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6</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0</w:t>
            </w:r>
            <w:r>
              <w:rPr>
                <w:rFonts w:hint="eastAsia" w:ascii="仿宋" w:hAnsi="仿宋" w:eastAsia="仿宋" w:cs="仿宋"/>
                <w:i w:val="0"/>
                <w:iCs w:val="0"/>
                <w:color w:val="auto"/>
                <w:kern w:val="0"/>
                <w:sz w:val="22"/>
                <w:szCs w:val="22"/>
                <w:u w:val="none"/>
                <w:lang w:val="en-US" w:eastAsia="zh-CN" w:bidi="ar"/>
              </w:rPr>
              <w:t>4</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C09E76">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100.00%</w:t>
            </w:r>
          </w:p>
        </w:tc>
      </w:tr>
      <w:tr w14:paraId="00C0E6CF">
        <w:tblPrEx>
          <w:tblCellMar>
            <w:top w:w="0" w:type="dxa"/>
            <w:left w:w="108" w:type="dxa"/>
            <w:bottom w:w="0" w:type="dxa"/>
            <w:right w:w="108" w:type="dxa"/>
          </w:tblCellMar>
        </w:tblPrEx>
        <w:trPr>
          <w:trHeight w:val="357"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F52C37">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3</w:t>
            </w:r>
          </w:p>
        </w:tc>
        <w:tc>
          <w:tcPr>
            <w:tcW w:w="1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3CD618">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宋体" w:cs="宋体"/>
                <w:bCs/>
                <w:color w:val="auto"/>
                <w:kern w:val="0"/>
                <w:sz w:val="22"/>
                <w:szCs w:val="22"/>
                <w:lang w:val="zh-CN" w:eastAsia="zh-CN" w:bidi="ar-SA"/>
              </w:rPr>
            </w:pPr>
            <w:r>
              <w:rPr>
                <w:rFonts w:hint="eastAsia" w:ascii="Times New Roman" w:hAnsi="Times New Roman" w:eastAsia="宋体" w:cs="宋体"/>
                <w:bCs/>
                <w:color w:val="auto"/>
                <w:kern w:val="0"/>
                <w:sz w:val="22"/>
                <w:szCs w:val="22"/>
                <w:lang w:val="en-US" w:eastAsia="zh-CN" w:bidi="ar-SA"/>
              </w:rPr>
              <w:t xml:space="preserve"> 服装购置 </w:t>
            </w:r>
          </w:p>
        </w:tc>
        <w:tc>
          <w:tcPr>
            <w:tcW w:w="7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3E1F02">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17</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25</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671B25">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 xml:space="preserve">0 </w:t>
            </w:r>
            <w:r>
              <w:rPr>
                <w:rFonts w:hint="eastAsia" w:ascii="仿宋" w:hAnsi="仿宋" w:eastAsia="仿宋" w:cs="仿宋"/>
                <w:i w:val="0"/>
                <w:iCs w:val="0"/>
                <w:color w:val="auto"/>
                <w:kern w:val="0"/>
                <w:sz w:val="22"/>
                <w:szCs w:val="22"/>
                <w:u w:val="none"/>
                <w:lang w:val="en-US" w:eastAsia="zh-CN" w:bidi="ar"/>
              </w:rPr>
              <w:t>.00</w:t>
            </w:r>
          </w:p>
        </w:tc>
        <w:tc>
          <w:tcPr>
            <w:tcW w:w="7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6CD9EA">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 xml:space="preserve">0 </w:t>
            </w:r>
            <w:r>
              <w:rPr>
                <w:rFonts w:hint="eastAsia" w:ascii="仿宋" w:hAnsi="仿宋" w:eastAsia="仿宋" w:cs="仿宋"/>
                <w:i w:val="0"/>
                <w:iCs w:val="0"/>
                <w:color w:val="auto"/>
                <w:kern w:val="0"/>
                <w:sz w:val="22"/>
                <w:szCs w:val="22"/>
                <w:u w:val="none"/>
                <w:lang w:val="en-US" w:eastAsia="zh-CN" w:bidi="ar"/>
              </w:rPr>
              <w:t>.00</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FC79F1">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100.00%</w:t>
            </w:r>
          </w:p>
        </w:tc>
      </w:tr>
      <w:tr w14:paraId="2B846FC8">
        <w:tblPrEx>
          <w:tblCellMar>
            <w:top w:w="0" w:type="dxa"/>
            <w:left w:w="108" w:type="dxa"/>
            <w:bottom w:w="0" w:type="dxa"/>
            <w:right w:w="108" w:type="dxa"/>
          </w:tblCellMar>
        </w:tblPrEx>
        <w:trPr>
          <w:trHeight w:val="357"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31904C">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4</w:t>
            </w:r>
          </w:p>
        </w:tc>
        <w:tc>
          <w:tcPr>
            <w:tcW w:w="1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2E66F2">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宋体" w:cs="宋体"/>
                <w:bCs/>
                <w:color w:val="auto"/>
                <w:kern w:val="0"/>
                <w:sz w:val="22"/>
                <w:szCs w:val="22"/>
                <w:lang w:val="zh-CN" w:eastAsia="zh-CN" w:bidi="ar-SA"/>
              </w:rPr>
            </w:pPr>
            <w:r>
              <w:rPr>
                <w:rFonts w:hint="eastAsia" w:ascii="Times New Roman" w:hAnsi="Times New Roman" w:eastAsia="宋体" w:cs="宋体"/>
                <w:bCs/>
                <w:color w:val="auto"/>
                <w:kern w:val="0"/>
                <w:sz w:val="22"/>
                <w:szCs w:val="22"/>
                <w:lang w:val="en-US" w:eastAsia="zh-CN" w:bidi="ar-SA"/>
              </w:rPr>
              <w:t xml:space="preserve"> 双随机抽检 </w:t>
            </w:r>
          </w:p>
        </w:tc>
        <w:tc>
          <w:tcPr>
            <w:tcW w:w="7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9F1DA3">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20</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 xml:space="preserve">00 </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35DB2F">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7</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26</w:t>
            </w:r>
          </w:p>
        </w:tc>
        <w:tc>
          <w:tcPr>
            <w:tcW w:w="7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6648F5">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7</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26</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129AA5">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100.00%</w:t>
            </w:r>
          </w:p>
        </w:tc>
      </w:tr>
      <w:tr w14:paraId="6E2D047C">
        <w:tblPrEx>
          <w:tblCellMar>
            <w:top w:w="0" w:type="dxa"/>
            <w:left w:w="108" w:type="dxa"/>
            <w:bottom w:w="0" w:type="dxa"/>
            <w:right w:w="108" w:type="dxa"/>
          </w:tblCellMar>
        </w:tblPrEx>
        <w:trPr>
          <w:trHeight w:val="422"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04B156">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5</w:t>
            </w:r>
          </w:p>
        </w:tc>
        <w:tc>
          <w:tcPr>
            <w:tcW w:w="1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D0427D">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宋体" w:cs="宋体"/>
                <w:bCs/>
                <w:color w:val="auto"/>
                <w:kern w:val="0"/>
                <w:sz w:val="22"/>
                <w:szCs w:val="22"/>
                <w:lang w:val="zh-CN" w:eastAsia="zh-CN" w:bidi="ar-SA"/>
              </w:rPr>
            </w:pPr>
            <w:r>
              <w:rPr>
                <w:rFonts w:hint="eastAsia" w:ascii="Times New Roman" w:hAnsi="Times New Roman" w:eastAsia="宋体" w:cs="宋体"/>
                <w:bCs/>
                <w:color w:val="auto"/>
                <w:kern w:val="0"/>
                <w:sz w:val="22"/>
                <w:szCs w:val="22"/>
                <w:lang w:val="en-US" w:eastAsia="zh-CN" w:bidi="ar-SA"/>
              </w:rPr>
              <w:t xml:space="preserve"> 3.15宣传、双心创建 </w:t>
            </w:r>
          </w:p>
        </w:tc>
        <w:tc>
          <w:tcPr>
            <w:tcW w:w="7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6259A5">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3</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 xml:space="preserve">50 </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88F1B1">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0</w:t>
            </w:r>
            <w:r>
              <w:rPr>
                <w:rFonts w:hint="eastAsia" w:ascii="仿宋" w:hAnsi="仿宋" w:eastAsia="仿宋" w:cs="仿宋"/>
                <w:i w:val="0"/>
                <w:iCs w:val="0"/>
                <w:color w:val="auto"/>
                <w:kern w:val="0"/>
                <w:sz w:val="22"/>
                <w:szCs w:val="22"/>
                <w:u w:val="none"/>
                <w:lang w:val="en-US" w:eastAsia="zh-CN" w:bidi="ar"/>
              </w:rPr>
              <w:t>.00</w:t>
            </w:r>
          </w:p>
        </w:tc>
        <w:tc>
          <w:tcPr>
            <w:tcW w:w="7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EAA56E">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0</w:t>
            </w:r>
            <w:r>
              <w:rPr>
                <w:rFonts w:hint="eastAsia" w:ascii="仿宋" w:hAnsi="仿宋" w:eastAsia="仿宋" w:cs="仿宋"/>
                <w:i w:val="0"/>
                <w:iCs w:val="0"/>
                <w:color w:val="auto"/>
                <w:kern w:val="0"/>
                <w:sz w:val="22"/>
                <w:szCs w:val="22"/>
                <w:u w:val="none"/>
                <w:lang w:val="en-US" w:eastAsia="zh-CN" w:bidi="ar"/>
              </w:rPr>
              <w:t>.00</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62CC5B">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100.00%</w:t>
            </w:r>
          </w:p>
        </w:tc>
      </w:tr>
      <w:tr w14:paraId="764A4180">
        <w:tblPrEx>
          <w:tblCellMar>
            <w:top w:w="0" w:type="dxa"/>
            <w:left w:w="108" w:type="dxa"/>
            <w:bottom w:w="0" w:type="dxa"/>
            <w:right w:w="108" w:type="dxa"/>
          </w:tblCellMar>
        </w:tblPrEx>
        <w:trPr>
          <w:trHeight w:val="422"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3ED3FF">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6</w:t>
            </w:r>
          </w:p>
        </w:tc>
        <w:tc>
          <w:tcPr>
            <w:tcW w:w="1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86D64C">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hint="default" w:ascii="Times New Roman" w:hAnsi="Times New Roman" w:eastAsia="宋体" w:cs="宋体"/>
                <w:bCs/>
                <w:color w:val="auto"/>
                <w:kern w:val="0"/>
                <w:sz w:val="22"/>
                <w:szCs w:val="22"/>
                <w:lang w:val="en-US" w:eastAsia="zh-CN" w:bidi="ar-SA"/>
              </w:rPr>
            </w:pPr>
            <w:r>
              <w:rPr>
                <w:rFonts w:hint="eastAsia" w:ascii="Times New Roman" w:hAnsi="Times New Roman" w:eastAsia="宋体" w:cs="宋体"/>
                <w:bCs/>
                <w:color w:val="auto"/>
                <w:kern w:val="0"/>
                <w:sz w:val="22"/>
                <w:szCs w:val="22"/>
                <w:lang w:val="en-US" w:eastAsia="zh-CN" w:bidi="ar-SA"/>
              </w:rPr>
              <w:t xml:space="preserve"> 信息化建设 </w:t>
            </w:r>
          </w:p>
        </w:tc>
        <w:tc>
          <w:tcPr>
            <w:tcW w:w="7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FA5EFF">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18</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 xml:space="preserve">24 </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B1A994">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18</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 xml:space="preserve">24 </w:t>
            </w:r>
          </w:p>
        </w:tc>
        <w:tc>
          <w:tcPr>
            <w:tcW w:w="7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16267D">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18</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 xml:space="preserve">24 </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B8C406">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100.00%</w:t>
            </w:r>
          </w:p>
        </w:tc>
      </w:tr>
      <w:tr w14:paraId="525FF7CA">
        <w:tblPrEx>
          <w:tblCellMar>
            <w:top w:w="0" w:type="dxa"/>
            <w:left w:w="108" w:type="dxa"/>
            <w:bottom w:w="0" w:type="dxa"/>
            <w:right w:w="108" w:type="dxa"/>
          </w:tblCellMar>
        </w:tblPrEx>
        <w:trPr>
          <w:trHeight w:val="422"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6F3A02">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7</w:t>
            </w:r>
          </w:p>
        </w:tc>
        <w:tc>
          <w:tcPr>
            <w:tcW w:w="1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15A200">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hint="default" w:ascii="Times New Roman" w:hAnsi="Times New Roman" w:eastAsia="宋体" w:cs="宋体"/>
                <w:bCs/>
                <w:color w:val="auto"/>
                <w:kern w:val="0"/>
                <w:sz w:val="22"/>
                <w:szCs w:val="22"/>
                <w:lang w:val="en-US" w:eastAsia="zh-CN" w:bidi="ar-SA"/>
              </w:rPr>
            </w:pPr>
            <w:r>
              <w:rPr>
                <w:rFonts w:hint="eastAsia" w:ascii="Times New Roman" w:hAnsi="Times New Roman" w:eastAsia="宋体" w:cs="宋体"/>
                <w:bCs/>
                <w:color w:val="auto"/>
                <w:kern w:val="0"/>
                <w:sz w:val="22"/>
                <w:szCs w:val="22"/>
                <w:lang w:val="en-US" w:eastAsia="zh-CN" w:bidi="ar-SA"/>
              </w:rPr>
              <w:t xml:space="preserve"> 质量安全监管、特种 </w:t>
            </w:r>
          </w:p>
        </w:tc>
        <w:tc>
          <w:tcPr>
            <w:tcW w:w="7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CB5744">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77</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 xml:space="preserve">00 </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CF5A28">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22</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 xml:space="preserve">33 </w:t>
            </w:r>
          </w:p>
        </w:tc>
        <w:tc>
          <w:tcPr>
            <w:tcW w:w="7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C7B9A4">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22</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 xml:space="preserve">33 </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58988C">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100.00%</w:t>
            </w:r>
          </w:p>
        </w:tc>
      </w:tr>
      <w:tr w14:paraId="54B8F336">
        <w:tblPrEx>
          <w:tblCellMar>
            <w:top w:w="0" w:type="dxa"/>
            <w:left w:w="108" w:type="dxa"/>
            <w:bottom w:w="0" w:type="dxa"/>
            <w:right w:w="108" w:type="dxa"/>
          </w:tblCellMar>
        </w:tblPrEx>
        <w:trPr>
          <w:trHeight w:val="422"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70760A">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8</w:t>
            </w:r>
          </w:p>
        </w:tc>
        <w:tc>
          <w:tcPr>
            <w:tcW w:w="1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FC3EB5">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hint="default" w:ascii="Times New Roman" w:hAnsi="Times New Roman" w:eastAsia="宋体" w:cs="宋体"/>
                <w:bCs/>
                <w:color w:val="auto"/>
                <w:kern w:val="0"/>
                <w:sz w:val="22"/>
                <w:szCs w:val="22"/>
                <w:lang w:val="en-US" w:eastAsia="zh-CN" w:bidi="ar-SA"/>
              </w:rPr>
            </w:pPr>
            <w:r>
              <w:rPr>
                <w:rFonts w:hint="eastAsia" w:ascii="Times New Roman" w:hAnsi="Times New Roman" w:eastAsia="宋体" w:cs="宋体"/>
                <w:bCs/>
                <w:color w:val="auto"/>
                <w:kern w:val="0"/>
                <w:sz w:val="22"/>
                <w:szCs w:val="22"/>
                <w:lang w:val="en-US" w:eastAsia="zh-CN" w:bidi="ar-SA"/>
              </w:rPr>
              <w:t xml:space="preserve"> 食品抽检 </w:t>
            </w:r>
          </w:p>
        </w:tc>
        <w:tc>
          <w:tcPr>
            <w:tcW w:w="7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C71B7B">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120</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 xml:space="preserve">00 </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C611AE">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83</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 xml:space="preserve">40 </w:t>
            </w:r>
          </w:p>
        </w:tc>
        <w:tc>
          <w:tcPr>
            <w:tcW w:w="7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81E0D5">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83</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 xml:space="preserve">40 </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1A8960">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100.00%</w:t>
            </w:r>
          </w:p>
        </w:tc>
      </w:tr>
      <w:tr w14:paraId="1FAE45C7">
        <w:tblPrEx>
          <w:tblCellMar>
            <w:top w:w="0" w:type="dxa"/>
            <w:left w:w="108" w:type="dxa"/>
            <w:bottom w:w="0" w:type="dxa"/>
            <w:right w:w="108" w:type="dxa"/>
          </w:tblCellMar>
        </w:tblPrEx>
        <w:trPr>
          <w:trHeight w:val="422"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5EA22B">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9</w:t>
            </w:r>
          </w:p>
        </w:tc>
        <w:tc>
          <w:tcPr>
            <w:tcW w:w="1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4FA60B">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宋体" w:cs="宋体"/>
                <w:bCs/>
                <w:color w:val="auto"/>
                <w:kern w:val="0"/>
                <w:sz w:val="22"/>
                <w:szCs w:val="22"/>
                <w:lang w:val="en-US" w:eastAsia="zh-CN" w:bidi="ar-SA"/>
              </w:rPr>
            </w:pPr>
            <w:r>
              <w:rPr>
                <w:rFonts w:hint="eastAsia" w:ascii="Times New Roman" w:hAnsi="Times New Roman" w:eastAsia="宋体" w:cs="宋体"/>
                <w:bCs/>
                <w:color w:val="auto"/>
                <w:kern w:val="0"/>
                <w:sz w:val="22"/>
                <w:szCs w:val="22"/>
                <w:lang w:val="en-US" w:eastAsia="zh-CN" w:bidi="ar-SA"/>
              </w:rPr>
              <w:t xml:space="preserve"> 建立集中监管仓 </w:t>
            </w:r>
          </w:p>
        </w:tc>
        <w:tc>
          <w:tcPr>
            <w:tcW w:w="7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336674">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72</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 xml:space="preserve">00 </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DE6682">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72</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 xml:space="preserve">00 </w:t>
            </w:r>
          </w:p>
        </w:tc>
        <w:tc>
          <w:tcPr>
            <w:tcW w:w="7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A3CE5D">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72</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 xml:space="preserve">00 </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9B676F">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100.00%</w:t>
            </w:r>
          </w:p>
        </w:tc>
      </w:tr>
      <w:tr w14:paraId="6F84CA96">
        <w:tblPrEx>
          <w:tblCellMar>
            <w:top w:w="0" w:type="dxa"/>
            <w:left w:w="108" w:type="dxa"/>
            <w:bottom w:w="0" w:type="dxa"/>
            <w:right w:w="108" w:type="dxa"/>
          </w:tblCellMar>
        </w:tblPrEx>
        <w:trPr>
          <w:trHeight w:val="422"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5A3FA0">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w:t>
            </w:r>
          </w:p>
        </w:tc>
        <w:tc>
          <w:tcPr>
            <w:tcW w:w="1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14BA28">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hint="default" w:ascii="Times New Roman" w:hAnsi="Times New Roman" w:eastAsia="宋体" w:cs="宋体"/>
                <w:bCs/>
                <w:color w:val="auto"/>
                <w:kern w:val="0"/>
                <w:sz w:val="22"/>
                <w:szCs w:val="22"/>
                <w:lang w:val="en-US" w:eastAsia="zh-CN" w:bidi="ar-SA"/>
              </w:rPr>
            </w:pPr>
            <w:r>
              <w:rPr>
                <w:rFonts w:hint="eastAsia" w:ascii="Times New Roman" w:hAnsi="Times New Roman" w:eastAsia="宋体" w:cs="宋体"/>
                <w:bCs/>
                <w:color w:val="auto"/>
                <w:kern w:val="0"/>
                <w:sz w:val="22"/>
                <w:szCs w:val="22"/>
                <w:lang w:val="en-US" w:eastAsia="zh-CN" w:bidi="ar-SA"/>
              </w:rPr>
              <w:t>春节慰问</w:t>
            </w:r>
          </w:p>
        </w:tc>
        <w:tc>
          <w:tcPr>
            <w:tcW w:w="7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5148A3">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0.</w:t>
            </w:r>
            <w:r>
              <w:rPr>
                <w:rFonts w:hint="default" w:ascii="仿宋" w:hAnsi="仿宋" w:eastAsia="仿宋" w:cs="仿宋"/>
                <w:i w:val="0"/>
                <w:iCs w:val="0"/>
                <w:color w:val="auto"/>
                <w:kern w:val="0"/>
                <w:sz w:val="22"/>
                <w:szCs w:val="22"/>
                <w:u w:val="none"/>
                <w:lang w:val="en-US" w:eastAsia="zh-CN" w:bidi="ar"/>
              </w:rPr>
              <w:t>68</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541934">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0.</w:t>
            </w:r>
            <w:r>
              <w:rPr>
                <w:rFonts w:hint="default" w:ascii="仿宋" w:hAnsi="仿宋" w:eastAsia="仿宋" w:cs="仿宋"/>
                <w:i w:val="0"/>
                <w:iCs w:val="0"/>
                <w:color w:val="auto"/>
                <w:kern w:val="0"/>
                <w:sz w:val="22"/>
                <w:szCs w:val="22"/>
                <w:u w:val="none"/>
                <w:lang w:val="en-US" w:eastAsia="zh-CN" w:bidi="ar"/>
              </w:rPr>
              <w:t>68</w:t>
            </w:r>
          </w:p>
        </w:tc>
        <w:tc>
          <w:tcPr>
            <w:tcW w:w="7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4129A8">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0.</w:t>
            </w:r>
            <w:r>
              <w:rPr>
                <w:rFonts w:hint="default" w:ascii="仿宋" w:hAnsi="仿宋" w:eastAsia="仿宋" w:cs="仿宋"/>
                <w:i w:val="0"/>
                <w:iCs w:val="0"/>
                <w:color w:val="auto"/>
                <w:kern w:val="0"/>
                <w:sz w:val="22"/>
                <w:szCs w:val="22"/>
                <w:u w:val="none"/>
                <w:lang w:val="en-US" w:eastAsia="zh-CN" w:bidi="ar"/>
              </w:rPr>
              <w:t>68</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F0B4AD">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100.00%</w:t>
            </w:r>
          </w:p>
        </w:tc>
      </w:tr>
      <w:tr w14:paraId="47634580">
        <w:tblPrEx>
          <w:tblCellMar>
            <w:top w:w="0" w:type="dxa"/>
            <w:left w:w="108" w:type="dxa"/>
            <w:bottom w:w="0" w:type="dxa"/>
            <w:right w:w="108" w:type="dxa"/>
          </w:tblCellMar>
        </w:tblPrEx>
        <w:trPr>
          <w:trHeight w:val="422"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D98A59">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11</w:t>
            </w:r>
          </w:p>
        </w:tc>
        <w:tc>
          <w:tcPr>
            <w:tcW w:w="1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45160D">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宋体" w:cs="宋体"/>
                <w:bCs/>
                <w:color w:val="auto"/>
                <w:kern w:val="0"/>
                <w:sz w:val="22"/>
                <w:szCs w:val="22"/>
                <w:lang w:val="en-US" w:eastAsia="zh-CN" w:bidi="ar-SA"/>
              </w:rPr>
            </w:pPr>
            <w:r>
              <w:rPr>
                <w:rFonts w:hint="eastAsia" w:ascii="Times New Roman" w:hAnsi="Times New Roman" w:eastAsia="宋体" w:cs="宋体"/>
                <w:bCs/>
                <w:color w:val="auto"/>
                <w:kern w:val="0"/>
                <w:sz w:val="22"/>
                <w:szCs w:val="22"/>
                <w:lang w:val="en-US" w:eastAsia="zh-CN" w:bidi="ar-SA"/>
              </w:rPr>
              <w:t xml:space="preserve"> 购买电动车费用 </w:t>
            </w:r>
          </w:p>
        </w:tc>
        <w:tc>
          <w:tcPr>
            <w:tcW w:w="7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90A977">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0</w:t>
            </w:r>
            <w:r>
              <w:rPr>
                <w:rFonts w:hint="eastAsia" w:ascii="仿宋" w:hAnsi="仿宋" w:eastAsia="仿宋" w:cs="仿宋"/>
                <w:i w:val="0"/>
                <w:iCs w:val="0"/>
                <w:color w:val="auto"/>
                <w:kern w:val="0"/>
                <w:sz w:val="22"/>
                <w:szCs w:val="22"/>
                <w:u w:val="none"/>
                <w:lang w:val="en-US" w:eastAsia="zh-CN" w:bidi="ar"/>
              </w:rPr>
              <w:t>.00</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F94DFA">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6</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12</w:t>
            </w:r>
          </w:p>
        </w:tc>
        <w:tc>
          <w:tcPr>
            <w:tcW w:w="7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4BB4B9">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6</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12</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03D965">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100.00%</w:t>
            </w:r>
          </w:p>
        </w:tc>
      </w:tr>
      <w:tr w14:paraId="0144CF7E">
        <w:tblPrEx>
          <w:tblCellMar>
            <w:top w:w="0" w:type="dxa"/>
            <w:left w:w="108" w:type="dxa"/>
            <w:bottom w:w="0" w:type="dxa"/>
            <w:right w:w="108" w:type="dxa"/>
          </w:tblCellMar>
        </w:tblPrEx>
        <w:trPr>
          <w:trHeight w:val="422"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CB38B6">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12</w:t>
            </w:r>
          </w:p>
        </w:tc>
        <w:tc>
          <w:tcPr>
            <w:tcW w:w="1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995D7F">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宋体" w:cs="宋体"/>
                <w:bCs/>
                <w:color w:val="auto"/>
                <w:kern w:val="0"/>
                <w:sz w:val="22"/>
                <w:szCs w:val="22"/>
                <w:lang w:val="en-US" w:eastAsia="zh-CN" w:bidi="ar-SA"/>
              </w:rPr>
            </w:pPr>
            <w:r>
              <w:rPr>
                <w:rFonts w:hint="eastAsia" w:ascii="Times New Roman" w:hAnsi="Times New Roman" w:eastAsia="宋体" w:cs="宋体"/>
                <w:bCs/>
                <w:color w:val="auto"/>
                <w:kern w:val="0"/>
                <w:sz w:val="22"/>
                <w:szCs w:val="22"/>
                <w:lang w:val="en-US" w:eastAsia="zh-CN" w:bidi="ar-SA"/>
              </w:rPr>
              <w:t xml:space="preserve"> 集中监管仓运行 </w:t>
            </w:r>
          </w:p>
        </w:tc>
        <w:tc>
          <w:tcPr>
            <w:tcW w:w="7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0DC73B">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0</w:t>
            </w:r>
            <w:r>
              <w:rPr>
                <w:rFonts w:hint="eastAsia" w:ascii="仿宋" w:hAnsi="仿宋" w:eastAsia="仿宋" w:cs="仿宋"/>
                <w:i w:val="0"/>
                <w:iCs w:val="0"/>
                <w:color w:val="auto"/>
                <w:kern w:val="0"/>
                <w:sz w:val="22"/>
                <w:szCs w:val="22"/>
                <w:u w:val="none"/>
                <w:lang w:val="en-US" w:eastAsia="zh-CN" w:bidi="ar"/>
              </w:rPr>
              <w:t>.00</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B1F200">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15</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5</w:t>
            </w:r>
            <w:r>
              <w:rPr>
                <w:rFonts w:hint="eastAsia" w:ascii="仿宋" w:hAnsi="仿宋" w:eastAsia="仿宋" w:cs="仿宋"/>
                <w:i w:val="0"/>
                <w:iCs w:val="0"/>
                <w:color w:val="auto"/>
                <w:kern w:val="0"/>
                <w:sz w:val="22"/>
                <w:szCs w:val="22"/>
                <w:u w:val="none"/>
                <w:lang w:val="en-US" w:eastAsia="zh-CN" w:bidi="ar"/>
              </w:rPr>
              <w:t>8</w:t>
            </w:r>
            <w:r>
              <w:rPr>
                <w:rFonts w:hint="default" w:ascii="仿宋" w:hAnsi="仿宋" w:eastAsia="仿宋" w:cs="仿宋"/>
                <w:i w:val="0"/>
                <w:iCs w:val="0"/>
                <w:color w:val="auto"/>
                <w:kern w:val="0"/>
                <w:sz w:val="22"/>
                <w:szCs w:val="22"/>
                <w:u w:val="none"/>
                <w:lang w:val="en-US" w:eastAsia="zh-CN" w:bidi="ar"/>
              </w:rPr>
              <w:t xml:space="preserve"> </w:t>
            </w:r>
          </w:p>
        </w:tc>
        <w:tc>
          <w:tcPr>
            <w:tcW w:w="7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925A70">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15</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5</w:t>
            </w:r>
            <w:r>
              <w:rPr>
                <w:rFonts w:hint="eastAsia" w:ascii="仿宋" w:hAnsi="仿宋" w:eastAsia="仿宋" w:cs="仿宋"/>
                <w:i w:val="0"/>
                <w:iCs w:val="0"/>
                <w:color w:val="auto"/>
                <w:kern w:val="0"/>
                <w:sz w:val="22"/>
                <w:szCs w:val="22"/>
                <w:u w:val="none"/>
                <w:lang w:val="en-US" w:eastAsia="zh-CN" w:bidi="ar"/>
              </w:rPr>
              <w:t>8</w:t>
            </w:r>
            <w:r>
              <w:rPr>
                <w:rFonts w:hint="default" w:ascii="仿宋" w:hAnsi="仿宋" w:eastAsia="仿宋" w:cs="仿宋"/>
                <w:i w:val="0"/>
                <w:iCs w:val="0"/>
                <w:color w:val="auto"/>
                <w:kern w:val="0"/>
                <w:sz w:val="22"/>
                <w:szCs w:val="22"/>
                <w:u w:val="none"/>
                <w:lang w:val="en-US" w:eastAsia="zh-CN" w:bidi="ar"/>
              </w:rPr>
              <w:t xml:space="preserve"> </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0FD293">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100.00%</w:t>
            </w:r>
          </w:p>
        </w:tc>
      </w:tr>
      <w:tr w14:paraId="5232ACF2">
        <w:tblPrEx>
          <w:tblCellMar>
            <w:top w:w="0" w:type="dxa"/>
            <w:left w:w="108" w:type="dxa"/>
            <w:bottom w:w="0" w:type="dxa"/>
            <w:right w:w="108" w:type="dxa"/>
          </w:tblCellMar>
        </w:tblPrEx>
        <w:trPr>
          <w:trHeight w:val="422"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5A77E1">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13</w:t>
            </w:r>
          </w:p>
        </w:tc>
        <w:tc>
          <w:tcPr>
            <w:tcW w:w="1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06411D">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宋体" w:cs="宋体"/>
                <w:bCs/>
                <w:color w:val="auto"/>
                <w:kern w:val="0"/>
                <w:sz w:val="22"/>
                <w:szCs w:val="22"/>
                <w:lang w:val="en-US" w:eastAsia="zh-CN" w:bidi="ar-SA"/>
              </w:rPr>
            </w:pPr>
            <w:r>
              <w:rPr>
                <w:rFonts w:hint="eastAsia" w:ascii="Times New Roman" w:hAnsi="Times New Roman" w:eastAsia="宋体" w:cs="宋体"/>
                <w:bCs/>
                <w:color w:val="auto"/>
                <w:kern w:val="0"/>
                <w:sz w:val="22"/>
                <w:szCs w:val="22"/>
                <w:lang w:val="en-US" w:eastAsia="zh-CN" w:bidi="ar-SA"/>
              </w:rPr>
              <w:t xml:space="preserve"> 2021年中央药品监管补助 </w:t>
            </w:r>
          </w:p>
        </w:tc>
        <w:tc>
          <w:tcPr>
            <w:tcW w:w="7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8B2D8B">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0</w:t>
            </w:r>
            <w:r>
              <w:rPr>
                <w:rFonts w:hint="eastAsia" w:ascii="仿宋" w:hAnsi="仿宋" w:eastAsia="仿宋" w:cs="仿宋"/>
                <w:i w:val="0"/>
                <w:iCs w:val="0"/>
                <w:color w:val="auto"/>
                <w:kern w:val="0"/>
                <w:sz w:val="22"/>
                <w:szCs w:val="22"/>
                <w:u w:val="none"/>
                <w:lang w:val="en-US" w:eastAsia="zh-CN" w:bidi="ar"/>
              </w:rPr>
              <w:t>.00</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F5CDEE">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2</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 xml:space="preserve">30 </w:t>
            </w:r>
          </w:p>
        </w:tc>
        <w:tc>
          <w:tcPr>
            <w:tcW w:w="7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064C3E">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2</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 xml:space="preserve">30 </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1C8E58">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100.00%</w:t>
            </w:r>
          </w:p>
        </w:tc>
      </w:tr>
      <w:tr w14:paraId="1F3FED47">
        <w:tblPrEx>
          <w:tblCellMar>
            <w:top w:w="0" w:type="dxa"/>
            <w:left w:w="108" w:type="dxa"/>
            <w:bottom w:w="0" w:type="dxa"/>
            <w:right w:w="108" w:type="dxa"/>
          </w:tblCellMar>
        </w:tblPrEx>
        <w:trPr>
          <w:trHeight w:val="422"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10704F">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14</w:t>
            </w:r>
          </w:p>
        </w:tc>
        <w:tc>
          <w:tcPr>
            <w:tcW w:w="1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5F3AF2">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宋体" w:cs="宋体"/>
                <w:bCs/>
                <w:color w:val="auto"/>
                <w:kern w:val="0"/>
                <w:sz w:val="22"/>
                <w:szCs w:val="22"/>
                <w:lang w:val="en-US" w:eastAsia="zh-CN" w:bidi="ar-SA"/>
              </w:rPr>
            </w:pPr>
            <w:r>
              <w:rPr>
                <w:rFonts w:hint="eastAsia" w:ascii="Times New Roman" w:hAnsi="Times New Roman" w:eastAsia="宋体" w:cs="宋体"/>
                <w:bCs/>
                <w:color w:val="auto"/>
                <w:kern w:val="0"/>
                <w:sz w:val="22"/>
                <w:szCs w:val="22"/>
                <w:lang w:val="en-US" w:eastAsia="zh-CN" w:bidi="ar-SA"/>
              </w:rPr>
              <w:t xml:space="preserve"> 信用监管工作经费 </w:t>
            </w:r>
          </w:p>
        </w:tc>
        <w:tc>
          <w:tcPr>
            <w:tcW w:w="7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7889E0">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0</w:t>
            </w:r>
            <w:r>
              <w:rPr>
                <w:rFonts w:hint="eastAsia" w:ascii="仿宋" w:hAnsi="仿宋" w:eastAsia="仿宋" w:cs="仿宋"/>
                <w:i w:val="0"/>
                <w:iCs w:val="0"/>
                <w:color w:val="auto"/>
                <w:kern w:val="0"/>
                <w:sz w:val="22"/>
                <w:szCs w:val="22"/>
                <w:u w:val="none"/>
                <w:lang w:val="en-US" w:eastAsia="zh-CN" w:bidi="ar"/>
              </w:rPr>
              <w:t>.00</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6B6388">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5</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 xml:space="preserve">00 </w:t>
            </w:r>
          </w:p>
        </w:tc>
        <w:tc>
          <w:tcPr>
            <w:tcW w:w="7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9E048F">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5</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 xml:space="preserve">00 </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2BFF2A">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100.00%</w:t>
            </w:r>
          </w:p>
        </w:tc>
      </w:tr>
      <w:tr w14:paraId="5C56842C">
        <w:tblPrEx>
          <w:tblCellMar>
            <w:top w:w="0" w:type="dxa"/>
            <w:left w:w="108" w:type="dxa"/>
            <w:bottom w:w="0" w:type="dxa"/>
            <w:right w:w="108" w:type="dxa"/>
          </w:tblCellMar>
        </w:tblPrEx>
        <w:trPr>
          <w:trHeight w:val="422"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11D76E">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15</w:t>
            </w:r>
          </w:p>
        </w:tc>
        <w:tc>
          <w:tcPr>
            <w:tcW w:w="1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4AEF92">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宋体" w:cs="宋体"/>
                <w:bCs/>
                <w:color w:val="auto"/>
                <w:kern w:val="0"/>
                <w:sz w:val="22"/>
                <w:szCs w:val="22"/>
                <w:lang w:val="en-US" w:eastAsia="zh-CN" w:bidi="ar-SA"/>
              </w:rPr>
            </w:pPr>
            <w:r>
              <w:rPr>
                <w:rFonts w:hint="eastAsia" w:ascii="Times New Roman" w:hAnsi="Times New Roman" w:eastAsia="宋体" w:cs="宋体"/>
                <w:bCs/>
                <w:color w:val="auto"/>
                <w:kern w:val="0"/>
                <w:sz w:val="22"/>
                <w:szCs w:val="22"/>
                <w:lang w:val="en-US" w:eastAsia="zh-CN" w:bidi="ar-SA"/>
              </w:rPr>
              <w:t xml:space="preserve"> 2021年农产品食品药品安全专项资金 </w:t>
            </w:r>
          </w:p>
        </w:tc>
        <w:tc>
          <w:tcPr>
            <w:tcW w:w="7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159A6E">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0</w:t>
            </w:r>
            <w:r>
              <w:rPr>
                <w:rFonts w:hint="eastAsia" w:ascii="仿宋" w:hAnsi="仿宋" w:eastAsia="仿宋" w:cs="仿宋"/>
                <w:i w:val="0"/>
                <w:iCs w:val="0"/>
                <w:color w:val="auto"/>
                <w:kern w:val="0"/>
                <w:sz w:val="22"/>
                <w:szCs w:val="22"/>
                <w:u w:val="none"/>
                <w:lang w:val="en-US" w:eastAsia="zh-CN" w:bidi="ar"/>
              </w:rPr>
              <w:t>.00</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D3C0FB">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20</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 xml:space="preserve">00 </w:t>
            </w:r>
          </w:p>
        </w:tc>
        <w:tc>
          <w:tcPr>
            <w:tcW w:w="7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47261D">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20</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 xml:space="preserve">00 </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87CC94">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100.00%</w:t>
            </w:r>
          </w:p>
        </w:tc>
      </w:tr>
      <w:tr w14:paraId="301D44B2">
        <w:tblPrEx>
          <w:tblCellMar>
            <w:top w:w="0" w:type="dxa"/>
            <w:left w:w="108" w:type="dxa"/>
            <w:bottom w:w="0" w:type="dxa"/>
            <w:right w:w="108" w:type="dxa"/>
          </w:tblCellMar>
        </w:tblPrEx>
        <w:trPr>
          <w:trHeight w:val="422"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F0A112">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17</w:t>
            </w:r>
          </w:p>
        </w:tc>
        <w:tc>
          <w:tcPr>
            <w:tcW w:w="1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1245AC">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宋体" w:cs="宋体"/>
                <w:bCs/>
                <w:color w:val="auto"/>
                <w:kern w:val="0"/>
                <w:sz w:val="22"/>
                <w:szCs w:val="22"/>
                <w:lang w:val="en-US" w:eastAsia="zh-CN" w:bidi="ar-SA"/>
              </w:rPr>
            </w:pPr>
            <w:r>
              <w:rPr>
                <w:rFonts w:hint="eastAsia" w:ascii="Times New Roman" w:hAnsi="Times New Roman" w:eastAsia="宋体" w:cs="宋体"/>
                <w:bCs/>
                <w:color w:val="auto"/>
                <w:kern w:val="0"/>
                <w:sz w:val="22"/>
                <w:szCs w:val="22"/>
                <w:lang w:val="en-US" w:eastAsia="zh-CN" w:bidi="ar-SA"/>
              </w:rPr>
              <w:t xml:space="preserve"> 药品综合监管 </w:t>
            </w:r>
          </w:p>
        </w:tc>
        <w:tc>
          <w:tcPr>
            <w:tcW w:w="7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BB1426">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0</w:t>
            </w:r>
            <w:r>
              <w:rPr>
                <w:rFonts w:hint="eastAsia" w:ascii="仿宋" w:hAnsi="仿宋" w:eastAsia="仿宋" w:cs="仿宋"/>
                <w:i w:val="0"/>
                <w:iCs w:val="0"/>
                <w:color w:val="auto"/>
                <w:kern w:val="0"/>
                <w:sz w:val="22"/>
                <w:szCs w:val="22"/>
                <w:u w:val="none"/>
                <w:lang w:val="en-US" w:eastAsia="zh-CN" w:bidi="ar"/>
              </w:rPr>
              <w:t>.00</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5E1E4C">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1</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 xml:space="preserve">53 </w:t>
            </w:r>
          </w:p>
        </w:tc>
        <w:tc>
          <w:tcPr>
            <w:tcW w:w="7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5EBFDF">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1</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 xml:space="preserve">53 </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F9D841">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100.00%</w:t>
            </w:r>
          </w:p>
        </w:tc>
      </w:tr>
      <w:tr w14:paraId="6E005C81">
        <w:tblPrEx>
          <w:tblCellMar>
            <w:top w:w="0" w:type="dxa"/>
            <w:left w:w="108" w:type="dxa"/>
            <w:bottom w:w="0" w:type="dxa"/>
            <w:right w:w="108" w:type="dxa"/>
          </w:tblCellMar>
        </w:tblPrEx>
        <w:trPr>
          <w:trHeight w:val="422" w:hRule="atLeast"/>
        </w:trPr>
        <w:tc>
          <w:tcPr>
            <w:tcW w:w="19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9EECC0">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kern w:val="0"/>
                <w:sz w:val="18"/>
                <w:szCs w:val="18"/>
                <w:u w:val="none"/>
                <w:lang w:val="en-US" w:eastAsia="zh-CN" w:bidi="ar"/>
              </w:rPr>
            </w:pPr>
            <w:r>
              <w:rPr>
                <w:rFonts w:hint="eastAsia" w:ascii="仿宋" w:hAnsi="仿宋" w:eastAsia="仿宋" w:cs="仿宋"/>
                <w:b/>
                <w:bCs/>
                <w:i w:val="0"/>
                <w:iCs w:val="0"/>
                <w:color w:val="auto"/>
                <w:kern w:val="0"/>
                <w:sz w:val="22"/>
                <w:szCs w:val="22"/>
                <w:u w:val="none"/>
                <w:lang w:val="en-US" w:eastAsia="zh-CN" w:bidi="ar"/>
              </w:rPr>
              <w:t>合计</w:t>
            </w:r>
          </w:p>
        </w:tc>
        <w:tc>
          <w:tcPr>
            <w:tcW w:w="7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BFB0AB">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b/>
                <w:bCs/>
                <w:i w:val="0"/>
                <w:iCs w:val="0"/>
                <w:color w:val="auto"/>
                <w:kern w:val="0"/>
                <w:sz w:val="22"/>
                <w:szCs w:val="22"/>
                <w:u w:val="none"/>
                <w:lang w:val="en-US" w:eastAsia="zh-CN" w:bidi="ar"/>
              </w:rPr>
            </w:pPr>
            <w:r>
              <w:rPr>
                <w:rFonts w:hint="eastAsia" w:ascii="仿宋" w:hAnsi="仿宋" w:eastAsia="仿宋" w:cs="仿宋"/>
                <w:b/>
                <w:bCs/>
                <w:i w:val="0"/>
                <w:iCs w:val="0"/>
                <w:color w:val="auto"/>
                <w:kern w:val="0"/>
                <w:sz w:val="22"/>
                <w:szCs w:val="22"/>
                <w:u w:val="none"/>
                <w:lang w:val="en-US" w:eastAsia="zh-CN" w:bidi="ar"/>
              </w:rPr>
              <w:t>351.67</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4EE9BB">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b/>
                <w:bCs/>
                <w:i w:val="0"/>
                <w:iCs w:val="0"/>
                <w:color w:val="auto"/>
                <w:kern w:val="0"/>
                <w:sz w:val="22"/>
                <w:szCs w:val="22"/>
                <w:u w:val="none"/>
                <w:lang w:val="en-US" w:eastAsia="zh-CN" w:bidi="ar"/>
              </w:rPr>
            </w:pPr>
            <w:r>
              <w:rPr>
                <w:rFonts w:hint="eastAsia" w:ascii="仿宋" w:hAnsi="仿宋" w:eastAsia="仿宋" w:cs="仿宋"/>
                <w:b/>
                <w:bCs/>
                <w:i w:val="0"/>
                <w:iCs w:val="0"/>
                <w:color w:val="auto"/>
                <w:kern w:val="0"/>
                <w:sz w:val="22"/>
                <w:szCs w:val="22"/>
                <w:u w:val="none"/>
                <w:lang w:val="en-US" w:eastAsia="zh-CN" w:bidi="ar"/>
              </w:rPr>
              <w:t>266.96</w:t>
            </w:r>
          </w:p>
        </w:tc>
        <w:tc>
          <w:tcPr>
            <w:tcW w:w="7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C90E17">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b/>
                <w:bCs/>
                <w:i w:val="0"/>
                <w:iCs w:val="0"/>
                <w:color w:val="auto"/>
                <w:kern w:val="0"/>
                <w:sz w:val="22"/>
                <w:szCs w:val="22"/>
                <w:u w:val="none"/>
                <w:lang w:val="en-US" w:eastAsia="zh-CN" w:bidi="ar"/>
              </w:rPr>
            </w:pPr>
            <w:r>
              <w:rPr>
                <w:rFonts w:hint="eastAsia" w:ascii="仿宋" w:hAnsi="仿宋" w:eastAsia="仿宋" w:cs="仿宋"/>
                <w:b/>
                <w:bCs/>
                <w:i w:val="0"/>
                <w:iCs w:val="0"/>
                <w:color w:val="auto"/>
                <w:kern w:val="0"/>
                <w:sz w:val="22"/>
                <w:szCs w:val="22"/>
                <w:u w:val="none"/>
                <w:lang w:val="en-US" w:eastAsia="zh-CN" w:bidi="ar"/>
              </w:rPr>
              <w:fldChar w:fldCharType="begin"/>
            </w:r>
            <w:r>
              <w:rPr>
                <w:rFonts w:hint="eastAsia" w:ascii="仿宋" w:hAnsi="仿宋" w:eastAsia="仿宋" w:cs="仿宋"/>
                <w:b/>
                <w:bCs/>
                <w:i w:val="0"/>
                <w:iCs w:val="0"/>
                <w:color w:val="auto"/>
                <w:kern w:val="0"/>
                <w:sz w:val="22"/>
                <w:szCs w:val="22"/>
                <w:u w:val="none"/>
                <w:lang w:val="en-US" w:eastAsia="zh-CN" w:bidi="ar"/>
              </w:rPr>
              <w:instrText xml:space="preserve"> = sum(D2:D9) \* MERGEFORMAT </w:instrText>
            </w:r>
            <w:r>
              <w:rPr>
                <w:rFonts w:hint="eastAsia" w:ascii="仿宋" w:hAnsi="仿宋" w:eastAsia="仿宋" w:cs="仿宋"/>
                <w:b/>
                <w:bCs/>
                <w:i w:val="0"/>
                <w:iCs w:val="0"/>
                <w:color w:val="auto"/>
                <w:kern w:val="0"/>
                <w:sz w:val="22"/>
                <w:szCs w:val="22"/>
                <w:u w:val="none"/>
                <w:lang w:val="en-US" w:eastAsia="zh-CN" w:bidi="ar"/>
              </w:rPr>
              <w:fldChar w:fldCharType="separate"/>
            </w:r>
            <w:r>
              <w:rPr>
                <w:rFonts w:hint="eastAsia" w:ascii="仿宋" w:hAnsi="仿宋" w:eastAsia="仿宋" w:cs="仿宋"/>
                <w:b/>
                <w:bCs/>
                <w:i w:val="0"/>
                <w:iCs w:val="0"/>
                <w:color w:val="auto"/>
                <w:kern w:val="0"/>
                <w:sz w:val="22"/>
                <w:szCs w:val="22"/>
                <w:u w:val="none"/>
                <w:lang w:val="en-US" w:eastAsia="zh-CN" w:bidi="ar"/>
              </w:rPr>
              <w:t>266.96</w:t>
            </w:r>
            <w:r>
              <w:rPr>
                <w:rFonts w:hint="eastAsia" w:ascii="仿宋" w:hAnsi="仿宋" w:eastAsia="仿宋" w:cs="仿宋"/>
                <w:b/>
                <w:bCs/>
                <w:i w:val="0"/>
                <w:iCs w:val="0"/>
                <w:color w:val="auto"/>
                <w:kern w:val="0"/>
                <w:sz w:val="22"/>
                <w:szCs w:val="22"/>
                <w:u w:val="none"/>
                <w:lang w:val="en-US" w:eastAsia="zh-CN" w:bidi="ar"/>
              </w:rPr>
              <w:fldChar w:fldCharType="end"/>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A77E6D">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b/>
                <w:bCs/>
                <w:i w:val="0"/>
                <w:iCs w:val="0"/>
                <w:color w:val="auto"/>
                <w:kern w:val="0"/>
                <w:sz w:val="22"/>
                <w:szCs w:val="22"/>
                <w:u w:val="none"/>
                <w:lang w:val="en-US" w:eastAsia="zh-CN" w:bidi="ar"/>
              </w:rPr>
            </w:pPr>
            <w:r>
              <w:rPr>
                <w:rFonts w:hint="eastAsia" w:ascii="仿宋" w:hAnsi="仿宋" w:eastAsia="仿宋" w:cs="仿宋"/>
                <w:b/>
                <w:bCs/>
                <w:i w:val="0"/>
                <w:iCs w:val="0"/>
                <w:color w:val="auto"/>
                <w:kern w:val="0"/>
                <w:sz w:val="22"/>
                <w:szCs w:val="22"/>
                <w:u w:val="none"/>
                <w:lang w:val="en-US" w:eastAsia="zh-CN" w:bidi="ar"/>
              </w:rPr>
              <w:t>100.00%</w:t>
            </w:r>
          </w:p>
        </w:tc>
      </w:tr>
    </w:tbl>
    <w:p w14:paraId="77ED8969">
      <w:pPr>
        <w:pStyle w:val="3"/>
        <w:pageBreakBefore w:val="0"/>
        <w:numPr>
          <w:ilvl w:val="0"/>
          <w:numId w:val="0"/>
        </w:numPr>
        <w:kinsoku/>
        <w:wordWrap/>
        <w:overflowPunct/>
        <w:topLinePunct w:val="0"/>
        <w:autoSpaceDE/>
        <w:autoSpaceDN/>
        <w:bidi w:val="0"/>
        <w:spacing w:line="560" w:lineRule="exact"/>
        <w:ind w:leftChars="200"/>
        <w:rPr>
          <w:rFonts w:hint="eastAsia"/>
          <w:color w:val="auto"/>
          <w:szCs w:val="32"/>
          <w:lang w:val="en-US" w:eastAsia="zh-CN"/>
        </w:rPr>
      </w:pPr>
      <w:r>
        <w:rPr>
          <w:rFonts w:hint="eastAsia"/>
          <w:color w:val="auto"/>
          <w:szCs w:val="32"/>
          <w:lang w:val="en-US" w:eastAsia="zh-CN"/>
        </w:rPr>
        <w:t>三、绩效评价工作开展情况</w:t>
      </w:r>
    </w:p>
    <w:p w14:paraId="5873FEA5">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1"/>
        <w:rPr>
          <w:rFonts w:ascii="楷体" w:hAnsi="楷体" w:eastAsia="楷体"/>
          <w:b/>
          <w:bCs/>
          <w:color w:val="auto"/>
          <w:sz w:val="32"/>
          <w:szCs w:val="32"/>
          <w:highlight w:val="none"/>
        </w:rPr>
      </w:pPr>
      <w:r>
        <w:rPr>
          <w:rFonts w:hint="eastAsia" w:ascii="楷体" w:hAnsi="楷体" w:eastAsia="楷体"/>
          <w:b/>
          <w:bCs/>
          <w:color w:val="auto"/>
          <w:sz w:val="32"/>
          <w:szCs w:val="32"/>
          <w:highlight w:val="none"/>
        </w:rPr>
        <w:t>（一）绩效评价目的</w:t>
      </w:r>
    </w:p>
    <w:p w14:paraId="1040FE2B">
      <w:pPr>
        <w:pStyle w:val="8"/>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color w:val="auto"/>
          <w:highlight w:val="none"/>
        </w:rPr>
      </w:pPr>
      <w:r>
        <w:rPr>
          <w:rFonts w:hint="eastAsia" w:ascii="仿宋" w:hAnsi="仿宋" w:eastAsia="仿宋" w:cs="仿宋"/>
          <w:bCs/>
          <w:color w:val="auto"/>
          <w:sz w:val="32"/>
          <w:szCs w:val="32"/>
          <w:highlight w:val="none"/>
        </w:rPr>
        <w:t>为全面贯彻落实《中共中央国务院关于全面实施预算绩效管理的意见》（中发〔2018〕34号）、《四川省关于全面实施预算绩效管理的实施意见》（川委发〔2019〕8号）</w:t>
      </w:r>
      <w:r>
        <w:rPr>
          <w:rFonts w:hint="eastAsia" w:ascii="仿宋" w:hAnsi="仿宋" w:eastAsia="仿宋" w:cs="仿宋"/>
          <w:bCs/>
          <w:color w:val="auto"/>
          <w:sz w:val="32"/>
          <w:szCs w:val="32"/>
          <w:highlight w:val="none"/>
          <w:lang w:eastAsia="zh-CN"/>
        </w:rPr>
        <w:t>、</w:t>
      </w:r>
      <w:r>
        <w:rPr>
          <w:rFonts w:hint="eastAsia" w:ascii="仿宋" w:hAnsi="仿宋" w:eastAsia="仿宋" w:cs="仿宋"/>
          <w:bCs/>
          <w:color w:val="auto"/>
          <w:sz w:val="32"/>
          <w:szCs w:val="32"/>
          <w:highlight w:val="none"/>
        </w:rPr>
        <w:t>《关于开展2022年财政重点绩效评价工作的通知》（遂东区财发〔2022〕8号）等文件</w:t>
      </w:r>
      <w:r>
        <w:rPr>
          <w:rFonts w:hint="eastAsia" w:ascii="仿宋" w:hAnsi="仿宋" w:eastAsia="仿宋" w:cs="仿宋"/>
          <w:bCs/>
          <w:color w:val="auto"/>
          <w:sz w:val="32"/>
          <w:szCs w:val="32"/>
          <w:highlight w:val="none"/>
          <w:lang w:val="en-US" w:eastAsia="zh-CN"/>
        </w:rPr>
        <w:t>精神</w:t>
      </w:r>
      <w:r>
        <w:rPr>
          <w:rFonts w:hint="eastAsia" w:ascii="仿宋" w:hAnsi="仿宋" w:eastAsia="仿宋" w:cs="仿宋"/>
          <w:bCs/>
          <w:color w:val="auto"/>
          <w:sz w:val="32"/>
          <w:szCs w:val="32"/>
          <w:highlight w:val="none"/>
        </w:rPr>
        <w:t>，对</w:t>
      </w:r>
      <w:r>
        <w:rPr>
          <w:rFonts w:hint="eastAsia" w:ascii="仿宋" w:hAnsi="仿宋" w:eastAsia="仿宋" w:cs="仿宋"/>
          <w:bCs/>
          <w:color w:val="auto"/>
          <w:sz w:val="32"/>
          <w:szCs w:val="32"/>
          <w:highlight w:val="none"/>
          <w:lang w:val="en-US" w:eastAsia="zh-CN"/>
        </w:rPr>
        <w:t>市场监督管理局分局</w:t>
      </w:r>
      <w:r>
        <w:rPr>
          <w:rFonts w:hint="eastAsia" w:ascii="仿宋" w:hAnsi="仿宋" w:eastAsia="仿宋" w:cs="仿宋"/>
          <w:bCs/>
          <w:color w:val="auto"/>
          <w:sz w:val="32"/>
          <w:szCs w:val="32"/>
          <w:highlight w:val="none"/>
        </w:rPr>
        <w:t>的</w:t>
      </w:r>
      <w:r>
        <w:rPr>
          <w:rFonts w:hint="eastAsia" w:ascii="仿宋" w:hAnsi="仿宋" w:eastAsia="仿宋" w:cs="仿宋"/>
          <w:bCs/>
          <w:color w:val="auto"/>
          <w:sz w:val="32"/>
          <w:szCs w:val="32"/>
          <w:highlight w:val="none"/>
          <w:lang w:val="en-US" w:eastAsia="zh-CN"/>
        </w:rPr>
        <w:t>基本履职绩效、重点履职绩效</w:t>
      </w:r>
      <w:r>
        <w:rPr>
          <w:rFonts w:hint="eastAsia" w:ascii="仿宋" w:hAnsi="仿宋" w:eastAsia="仿宋" w:cs="仿宋"/>
          <w:bCs/>
          <w:color w:val="auto"/>
          <w:sz w:val="32"/>
          <w:szCs w:val="32"/>
          <w:highlight w:val="none"/>
        </w:rPr>
        <w:t>情况</w:t>
      </w:r>
      <w:r>
        <w:rPr>
          <w:rFonts w:hint="eastAsia" w:ascii="仿宋" w:hAnsi="仿宋" w:eastAsia="仿宋" w:cs="仿宋"/>
          <w:bCs/>
          <w:color w:val="auto"/>
          <w:sz w:val="32"/>
          <w:szCs w:val="32"/>
          <w:highlight w:val="none"/>
          <w:lang w:val="en-US" w:eastAsia="zh-CN"/>
        </w:rPr>
        <w:t>和满意度</w:t>
      </w:r>
      <w:r>
        <w:rPr>
          <w:rFonts w:hint="eastAsia" w:ascii="仿宋" w:hAnsi="仿宋" w:eastAsia="仿宋" w:cs="仿宋"/>
          <w:bCs/>
          <w:color w:val="auto"/>
          <w:sz w:val="32"/>
          <w:szCs w:val="32"/>
          <w:highlight w:val="none"/>
        </w:rPr>
        <w:t>开展绩效评价。通过评价工作的实施，</w:t>
      </w:r>
      <w:r>
        <w:rPr>
          <w:rFonts w:hint="eastAsia" w:ascii="仿宋" w:hAnsi="仿宋" w:eastAsia="仿宋"/>
          <w:bCs/>
          <w:color w:val="auto"/>
          <w:sz w:val="32"/>
          <w:szCs w:val="32"/>
          <w:highlight w:val="none"/>
        </w:rPr>
        <w:t>全面反映</w:t>
      </w:r>
      <w:r>
        <w:rPr>
          <w:rFonts w:hint="eastAsia" w:ascii="仿宋" w:hAnsi="仿宋" w:eastAsia="仿宋" w:cs="仿宋"/>
          <w:bCs/>
          <w:color w:val="auto"/>
          <w:sz w:val="32"/>
          <w:szCs w:val="32"/>
          <w:highlight w:val="none"/>
          <w:lang w:val="en-US" w:eastAsia="zh-CN"/>
        </w:rPr>
        <w:t>市场监督管理局分局</w:t>
      </w:r>
      <w:r>
        <w:rPr>
          <w:rFonts w:hint="eastAsia" w:ascii="仿宋" w:hAnsi="仿宋" w:eastAsia="仿宋"/>
          <w:bCs/>
          <w:color w:val="auto"/>
          <w:sz w:val="32"/>
          <w:szCs w:val="32"/>
          <w:highlight w:val="none"/>
        </w:rPr>
        <w:t>本级预算管理和核心业务实施效果，</w:t>
      </w:r>
      <w:r>
        <w:rPr>
          <w:rFonts w:hint="eastAsia" w:ascii="仿宋" w:hAnsi="仿宋" w:eastAsia="仿宋" w:cs="仿宋"/>
          <w:bCs/>
          <w:color w:val="auto"/>
          <w:sz w:val="32"/>
          <w:szCs w:val="32"/>
          <w:highlight w:val="none"/>
        </w:rPr>
        <w:t>总结经验、发现问题、剖析原因、提出改进建议，</w:t>
      </w:r>
      <w:r>
        <w:rPr>
          <w:rFonts w:hint="eastAsia" w:ascii="仿宋" w:hAnsi="仿宋" w:eastAsia="仿宋"/>
          <w:bCs/>
          <w:color w:val="auto"/>
          <w:sz w:val="32"/>
          <w:szCs w:val="32"/>
          <w:highlight w:val="none"/>
        </w:rPr>
        <w:t>促进单位科学决策、规范管理，提高部门整体绩效水平及财政资源配置效率和使用效益。</w:t>
      </w:r>
    </w:p>
    <w:p w14:paraId="14E1D8C6">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1"/>
        <w:rPr>
          <w:rFonts w:ascii="楷体" w:hAnsi="楷体" w:eastAsia="楷体"/>
          <w:b/>
          <w:bCs/>
          <w:color w:val="auto"/>
          <w:sz w:val="32"/>
          <w:szCs w:val="32"/>
        </w:rPr>
      </w:pPr>
      <w:r>
        <w:rPr>
          <w:rFonts w:hint="eastAsia" w:ascii="楷体" w:hAnsi="楷体" w:eastAsia="楷体"/>
          <w:b/>
          <w:bCs/>
          <w:color w:val="auto"/>
          <w:sz w:val="32"/>
          <w:szCs w:val="32"/>
        </w:rPr>
        <w:t>（二）绩效评价原则、方法与标准</w:t>
      </w:r>
    </w:p>
    <w:p w14:paraId="28B26E01">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2"/>
        <w:rPr>
          <w:rFonts w:hint="eastAsia" w:ascii="仿宋" w:hAnsi="仿宋" w:eastAsia="仿宋" w:cs="仿宋"/>
          <w:b/>
          <w:color w:val="auto"/>
          <w:sz w:val="32"/>
          <w:szCs w:val="32"/>
        </w:rPr>
      </w:pPr>
      <w:r>
        <w:rPr>
          <w:rFonts w:ascii="仿宋" w:hAnsi="仿宋" w:eastAsia="仿宋" w:cs="仿宋"/>
          <w:b/>
          <w:color w:val="auto"/>
          <w:sz w:val="32"/>
          <w:szCs w:val="32"/>
        </w:rPr>
        <w:t>1.</w:t>
      </w:r>
      <w:r>
        <w:rPr>
          <w:rFonts w:hint="eastAsia" w:ascii="仿宋" w:hAnsi="仿宋" w:eastAsia="仿宋" w:cs="仿宋"/>
          <w:b/>
          <w:color w:val="auto"/>
          <w:sz w:val="32"/>
          <w:szCs w:val="32"/>
        </w:rPr>
        <w:t>评价原则</w:t>
      </w:r>
    </w:p>
    <w:p w14:paraId="1F0B4F02">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本次评价工作本着问题导向、系统评价、科学客观、讲求绩效的原则，采用全面评价和重点评价相结合、现场评价和非现场评价相结合、定性分析与定量分析相结合的方式，对</w:t>
      </w:r>
      <w:r>
        <w:rPr>
          <w:rFonts w:hint="eastAsia" w:ascii="仿宋" w:hAnsi="仿宋" w:eastAsia="仿宋" w:cs="仿宋"/>
          <w:bCs/>
          <w:color w:val="auto"/>
          <w:sz w:val="32"/>
          <w:szCs w:val="32"/>
          <w:lang w:val="en-US" w:eastAsia="zh-CN"/>
        </w:rPr>
        <w:t>市场监督管理局分局</w:t>
      </w:r>
      <w:r>
        <w:rPr>
          <w:rFonts w:hint="eastAsia" w:ascii="仿宋" w:hAnsi="仿宋" w:eastAsia="仿宋" w:cs="仿宋"/>
          <w:bCs/>
          <w:color w:val="auto"/>
          <w:sz w:val="32"/>
          <w:szCs w:val="32"/>
        </w:rPr>
        <w:t>整体的</w:t>
      </w:r>
      <w:r>
        <w:rPr>
          <w:rFonts w:hint="eastAsia" w:ascii="仿宋" w:hAnsi="仿宋" w:eastAsia="仿宋" w:cs="仿宋"/>
          <w:bCs/>
          <w:color w:val="auto"/>
          <w:sz w:val="32"/>
          <w:szCs w:val="32"/>
          <w:lang w:val="en-US" w:eastAsia="zh-CN"/>
        </w:rPr>
        <w:t>基本履职绩效和重点履职绩效</w:t>
      </w:r>
      <w:r>
        <w:rPr>
          <w:rFonts w:hint="eastAsia" w:ascii="仿宋" w:hAnsi="仿宋" w:eastAsia="仿宋" w:cs="仿宋"/>
          <w:bCs/>
          <w:color w:val="auto"/>
          <w:sz w:val="32"/>
          <w:szCs w:val="32"/>
        </w:rPr>
        <w:t>情况开展绩效评价</w:t>
      </w:r>
    </w:p>
    <w:p w14:paraId="6A52CD72">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2"/>
        <w:rPr>
          <w:rFonts w:ascii="仿宋" w:hAnsi="仿宋" w:eastAsia="仿宋" w:cs="仿宋"/>
          <w:b/>
          <w:color w:val="auto"/>
          <w:sz w:val="32"/>
          <w:szCs w:val="32"/>
        </w:rPr>
      </w:pPr>
      <w:r>
        <w:rPr>
          <w:rFonts w:ascii="仿宋" w:hAnsi="仿宋" w:eastAsia="仿宋" w:cs="仿宋"/>
          <w:b/>
          <w:color w:val="auto"/>
          <w:sz w:val="32"/>
          <w:szCs w:val="32"/>
        </w:rPr>
        <w:t>2.</w:t>
      </w:r>
      <w:r>
        <w:rPr>
          <w:rFonts w:hint="eastAsia" w:ascii="仿宋" w:hAnsi="仿宋" w:eastAsia="仿宋" w:cs="仿宋"/>
          <w:b/>
          <w:color w:val="auto"/>
          <w:sz w:val="32"/>
          <w:szCs w:val="32"/>
        </w:rPr>
        <w:t>评价方法</w:t>
      </w:r>
    </w:p>
    <w:p w14:paraId="1AA76E64">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围绕</w:t>
      </w:r>
      <w:r>
        <w:rPr>
          <w:rFonts w:hint="eastAsia" w:ascii="仿宋" w:hAnsi="仿宋" w:eastAsia="仿宋" w:cs="仿宋"/>
          <w:bCs/>
          <w:color w:val="auto"/>
          <w:sz w:val="32"/>
          <w:szCs w:val="32"/>
          <w:highlight w:val="none"/>
          <w:lang w:val="en-US" w:eastAsia="zh-CN"/>
        </w:rPr>
        <w:t>市场监督管理局分局</w:t>
      </w:r>
      <w:r>
        <w:rPr>
          <w:rFonts w:hint="eastAsia" w:ascii="仿宋" w:hAnsi="仿宋" w:eastAsia="仿宋" w:cs="仿宋"/>
          <w:bCs/>
          <w:color w:val="auto"/>
          <w:sz w:val="32"/>
          <w:szCs w:val="32"/>
        </w:rPr>
        <w:t>单位职责，以预算资金管理为主线，统筹考虑业务活动，立足统计工作的定位，确保“职能-机构-资金-</w:t>
      </w:r>
      <w:r>
        <w:rPr>
          <w:rFonts w:hint="eastAsia" w:ascii="仿宋" w:hAnsi="仿宋" w:eastAsia="仿宋" w:cs="仿宋"/>
          <w:bCs/>
          <w:color w:val="auto"/>
          <w:sz w:val="32"/>
          <w:szCs w:val="32"/>
          <w:lang w:val="en-US" w:eastAsia="zh-CN"/>
        </w:rPr>
        <w:t>绩效</w:t>
      </w:r>
      <w:r>
        <w:rPr>
          <w:rFonts w:hint="eastAsia" w:ascii="仿宋" w:hAnsi="仿宋" w:eastAsia="仿宋" w:cs="仿宋"/>
          <w:bCs/>
          <w:color w:val="auto"/>
          <w:sz w:val="32"/>
          <w:szCs w:val="32"/>
        </w:rPr>
        <w:t>”的有效衔接。评价过程中主要采用卷宗研究法、对比分析法、公众评判法、成本效益分析法、因素分析法等方法。</w:t>
      </w:r>
    </w:p>
    <w:p w14:paraId="661CE470">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2"/>
        <w:rPr>
          <w:rFonts w:hint="eastAsia" w:ascii="仿宋" w:hAnsi="仿宋" w:eastAsia="仿宋" w:cs="仿宋"/>
          <w:b/>
          <w:color w:val="auto"/>
          <w:sz w:val="32"/>
          <w:szCs w:val="32"/>
        </w:rPr>
      </w:pPr>
      <w:r>
        <w:rPr>
          <w:rFonts w:hint="eastAsia" w:ascii="仿宋" w:hAnsi="仿宋" w:eastAsia="仿宋" w:cs="仿宋"/>
          <w:b/>
          <w:color w:val="auto"/>
          <w:sz w:val="32"/>
          <w:szCs w:val="32"/>
        </w:rPr>
        <w:t>3.评价指标体系</w:t>
      </w:r>
    </w:p>
    <w:p w14:paraId="5D337D6B">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lang w:eastAsia="zh-CN"/>
        </w:rPr>
      </w:pPr>
      <w:r>
        <w:rPr>
          <w:rFonts w:hint="eastAsia" w:ascii="仿宋" w:hAnsi="仿宋" w:eastAsia="仿宋" w:cs="仿宋"/>
          <w:bCs/>
          <w:color w:val="auto"/>
          <w:sz w:val="32"/>
          <w:szCs w:val="32"/>
        </w:rPr>
        <w:t>本次评价工作设置指标体系包括</w:t>
      </w:r>
      <w:r>
        <w:rPr>
          <w:rFonts w:hint="eastAsia" w:ascii="仿宋" w:hAnsi="仿宋" w:eastAsia="仿宋" w:cs="仿宋"/>
          <w:bCs/>
          <w:color w:val="auto"/>
          <w:sz w:val="32"/>
          <w:szCs w:val="32"/>
          <w:lang w:val="en-US" w:eastAsia="zh-CN"/>
        </w:rPr>
        <w:t>部门预算管理、绩效结果应用和自评质量3</w:t>
      </w:r>
      <w:r>
        <w:rPr>
          <w:rFonts w:hint="eastAsia" w:ascii="仿宋" w:hAnsi="仿宋" w:eastAsia="仿宋" w:cs="仿宋"/>
          <w:bCs/>
          <w:color w:val="auto"/>
          <w:sz w:val="32"/>
          <w:szCs w:val="32"/>
        </w:rPr>
        <w:t>个一级指标，</w:t>
      </w:r>
      <w:r>
        <w:rPr>
          <w:rFonts w:hint="eastAsia" w:ascii="仿宋" w:hAnsi="仿宋" w:eastAsia="仿宋" w:cs="仿宋"/>
          <w:bCs/>
          <w:color w:val="auto"/>
          <w:sz w:val="32"/>
          <w:szCs w:val="32"/>
          <w:lang w:val="en-US" w:eastAsia="zh-CN"/>
        </w:rPr>
        <w:t>6</w:t>
      </w:r>
      <w:r>
        <w:rPr>
          <w:rFonts w:hint="eastAsia" w:ascii="仿宋" w:hAnsi="仿宋" w:eastAsia="仿宋" w:cs="仿宋"/>
          <w:bCs/>
          <w:color w:val="auto"/>
          <w:sz w:val="32"/>
          <w:szCs w:val="32"/>
        </w:rPr>
        <w:t>个二级指标和</w:t>
      </w:r>
      <w:r>
        <w:rPr>
          <w:rFonts w:hint="eastAsia" w:ascii="仿宋" w:hAnsi="仿宋" w:eastAsia="仿宋" w:cs="仿宋"/>
          <w:bCs/>
          <w:color w:val="auto"/>
          <w:sz w:val="32"/>
          <w:szCs w:val="32"/>
          <w:lang w:val="en-US" w:eastAsia="zh-CN"/>
        </w:rPr>
        <w:t>12</w:t>
      </w:r>
      <w:r>
        <w:rPr>
          <w:rFonts w:hint="eastAsia" w:ascii="仿宋" w:hAnsi="仿宋" w:eastAsia="仿宋" w:cs="仿宋"/>
          <w:bCs/>
          <w:color w:val="auto"/>
          <w:sz w:val="32"/>
          <w:szCs w:val="32"/>
        </w:rPr>
        <w:t>个三级指标，指标体系详见附件。指标体系</w:t>
      </w:r>
      <w:r>
        <w:rPr>
          <w:rFonts w:hint="eastAsia" w:ascii="仿宋" w:hAnsi="仿宋" w:eastAsia="仿宋" w:cs="仿宋"/>
          <w:bCs/>
          <w:color w:val="auto"/>
          <w:sz w:val="32"/>
          <w:szCs w:val="32"/>
          <w:lang w:eastAsia="zh-CN"/>
        </w:rPr>
        <w:t>分值</w:t>
      </w:r>
      <w:r>
        <w:rPr>
          <w:rFonts w:hint="eastAsia" w:ascii="仿宋" w:hAnsi="仿宋" w:eastAsia="仿宋" w:cs="仿宋"/>
          <w:bCs/>
          <w:color w:val="auto"/>
          <w:sz w:val="32"/>
          <w:szCs w:val="32"/>
        </w:rPr>
        <w:t>为100分</w:t>
      </w:r>
      <w:r>
        <w:rPr>
          <w:rFonts w:hint="eastAsia" w:ascii="仿宋" w:hAnsi="仿宋" w:eastAsia="仿宋" w:cs="仿宋"/>
          <w:bCs/>
          <w:color w:val="auto"/>
          <w:sz w:val="32"/>
          <w:szCs w:val="32"/>
          <w:lang w:eastAsia="zh-CN"/>
        </w:rPr>
        <w:t>。</w:t>
      </w:r>
    </w:p>
    <w:p w14:paraId="54F3AB29">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2"/>
        <w:rPr>
          <w:rFonts w:hint="eastAsia" w:ascii="仿宋" w:hAnsi="仿宋" w:eastAsia="仿宋" w:cs="仿宋"/>
          <w:b/>
          <w:color w:val="auto"/>
          <w:sz w:val="32"/>
          <w:szCs w:val="32"/>
          <w:lang w:eastAsia="zh-CN"/>
        </w:rPr>
      </w:pPr>
      <w:r>
        <w:rPr>
          <w:rFonts w:hint="eastAsia" w:ascii="仿宋" w:hAnsi="仿宋" w:eastAsia="仿宋" w:cs="仿宋"/>
          <w:b/>
          <w:color w:val="auto"/>
          <w:sz w:val="32"/>
          <w:szCs w:val="32"/>
          <w:lang w:val="en-US" w:eastAsia="zh-CN"/>
        </w:rPr>
        <w:t>4.</w:t>
      </w:r>
      <w:r>
        <w:rPr>
          <w:rFonts w:hint="eastAsia" w:ascii="仿宋" w:hAnsi="仿宋" w:eastAsia="仿宋" w:cs="仿宋"/>
          <w:b/>
          <w:color w:val="auto"/>
          <w:sz w:val="32"/>
          <w:szCs w:val="32"/>
          <w:lang w:eastAsia="zh-CN"/>
        </w:rPr>
        <w:t>评价标准</w:t>
      </w:r>
    </w:p>
    <w:p w14:paraId="2A28A4C3">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lang w:eastAsia="zh-CN"/>
        </w:rPr>
      </w:pPr>
      <w:r>
        <w:rPr>
          <w:rFonts w:hint="eastAsia" w:ascii="仿宋" w:hAnsi="仿宋" w:eastAsia="仿宋" w:cs="仿宋"/>
          <w:bCs/>
          <w:color w:val="auto"/>
          <w:sz w:val="32"/>
          <w:szCs w:val="32"/>
          <w:lang w:eastAsia="zh-CN"/>
        </w:rPr>
        <w:t>本次评价结果参考《财政部关于印发&lt;项目支出绩效评价管理办法&gt;的通知》（财预〔2020〕10号）要求分为四个等级，分为优、良、中、差。</w:t>
      </w:r>
    </w:p>
    <w:p w14:paraId="27257CD7">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lang w:eastAsia="zh-CN"/>
        </w:rPr>
      </w:pPr>
      <w:r>
        <w:rPr>
          <w:rFonts w:hint="eastAsia" w:ascii="仿宋" w:hAnsi="仿宋" w:eastAsia="仿宋" w:cs="仿宋"/>
          <w:bCs/>
          <w:color w:val="auto"/>
          <w:sz w:val="32"/>
          <w:szCs w:val="32"/>
          <w:lang w:eastAsia="zh-CN"/>
        </w:rPr>
        <w:t>综合得分在100—90分（含90分）为优；</w:t>
      </w:r>
    </w:p>
    <w:p w14:paraId="66487E3C">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lang w:eastAsia="zh-CN"/>
        </w:rPr>
      </w:pPr>
      <w:r>
        <w:rPr>
          <w:rFonts w:hint="eastAsia" w:ascii="仿宋" w:hAnsi="仿宋" w:eastAsia="仿宋" w:cs="仿宋"/>
          <w:bCs/>
          <w:color w:val="auto"/>
          <w:sz w:val="32"/>
          <w:szCs w:val="32"/>
          <w:lang w:eastAsia="zh-CN"/>
        </w:rPr>
        <w:t>综合得分在90—80分（含80分）为良；</w:t>
      </w:r>
    </w:p>
    <w:p w14:paraId="4CFB8BDA">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lang w:eastAsia="zh-CN"/>
        </w:rPr>
      </w:pPr>
      <w:r>
        <w:rPr>
          <w:rFonts w:hint="eastAsia" w:ascii="仿宋" w:hAnsi="仿宋" w:eastAsia="仿宋" w:cs="仿宋"/>
          <w:bCs/>
          <w:color w:val="auto"/>
          <w:sz w:val="32"/>
          <w:szCs w:val="32"/>
          <w:lang w:eastAsia="zh-CN"/>
        </w:rPr>
        <w:t>综合得分在80—60分（含60分）为中；</w:t>
      </w:r>
    </w:p>
    <w:p w14:paraId="66CC53C0">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lang w:eastAsia="zh-CN"/>
        </w:rPr>
      </w:pPr>
      <w:r>
        <w:rPr>
          <w:rFonts w:hint="eastAsia" w:ascii="仿宋" w:hAnsi="仿宋" w:eastAsia="仿宋" w:cs="仿宋"/>
          <w:bCs/>
          <w:color w:val="auto"/>
          <w:sz w:val="32"/>
          <w:szCs w:val="32"/>
          <w:lang w:eastAsia="zh-CN"/>
        </w:rPr>
        <w:t>综合得分在60分以下为差。</w:t>
      </w:r>
    </w:p>
    <w:p w14:paraId="1AAF42D6">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1"/>
        <w:rPr>
          <w:rFonts w:ascii="楷体" w:hAnsi="楷体" w:eastAsia="楷体"/>
          <w:b/>
          <w:bCs/>
          <w:color w:val="auto"/>
          <w:sz w:val="32"/>
          <w:szCs w:val="32"/>
        </w:rPr>
      </w:pPr>
      <w:r>
        <w:rPr>
          <w:rFonts w:hint="eastAsia" w:ascii="楷体" w:hAnsi="楷体" w:eastAsia="楷体"/>
          <w:b/>
          <w:bCs/>
          <w:color w:val="auto"/>
          <w:sz w:val="32"/>
          <w:szCs w:val="32"/>
        </w:rPr>
        <w:t>（三）绩效评价工作过程</w:t>
      </w:r>
    </w:p>
    <w:p w14:paraId="24B9D240">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2"/>
        <w:rPr>
          <w:rFonts w:ascii="仿宋" w:hAnsi="仿宋" w:eastAsia="仿宋" w:cs="仿宋"/>
          <w:b/>
          <w:color w:val="auto"/>
          <w:sz w:val="32"/>
          <w:szCs w:val="32"/>
        </w:rPr>
      </w:pPr>
      <w:r>
        <w:rPr>
          <w:rFonts w:ascii="仿宋" w:hAnsi="仿宋" w:eastAsia="仿宋" w:cs="仿宋"/>
          <w:b/>
          <w:color w:val="auto"/>
          <w:sz w:val="32"/>
          <w:szCs w:val="32"/>
        </w:rPr>
        <w:t>1.</w:t>
      </w:r>
      <w:r>
        <w:rPr>
          <w:rFonts w:hint="eastAsia" w:ascii="仿宋" w:hAnsi="仿宋" w:eastAsia="仿宋" w:cs="仿宋"/>
          <w:b/>
          <w:color w:val="auto"/>
          <w:sz w:val="32"/>
          <w:szCs w:val="32"/>
        </w:rPr>
        <w:t>准备阶段</w:t>
      </w:r>
    </w:p>
    <w:p w14:paraId="0AF89B1F">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接受</w:t>
      </w:r>
      <w:r>
        <w:rPr>
          <w:rFonts w:hint="eastAsia" w:ascii="仿宋" w:hAnsi="仿宋" w:eastAsia="仿宋" w:cs="仿宋"/>
          <w:bCs/>
          <w:color w:val="auto"/>
          <w:sz w:val="32"/>
          <w:szCs w:val="32"/>
          <w:lang w:val="en-US" w:eastAsia="zh-CN"/>
        </w:rPr>
        <w:t>遂宁市河东新区国资金融局委托</w:t>
      </w:r>
      <w:r>
        <w:rPr>
          <w:rFonts w:hint="eastAsia" w:ascii="仿宋" w:hAnsi="仿宋" w:eastAsia="仿宋" w:cs="仿宋"/>
          <w:bCs/>
          <w:color w:val="auto"/>
          <w:sz w:val="32"/>
          <w:szCs w:val="32"/>
        </w:rPr>
        <w:t>，组建评价工作组。与单位财务管理部对接，明确具体工作安排及要求，初步沟通并收取部分单位基础材料。通过查看</w:t>
      </w:r>
      <w:r>
        <w:rPr>
          <w:rFonts w:hint="eastAsia" w:ascii="仿宋" w:hAnsi="仿宋" w:eastAsia="仿宋" w:cs="仿宋"/>
          <w:bCs/>
          <w:color w:val="auto"/>
          <w:sz w:val="32"/>
          <w:szCs w:val="32"/>
          <w:lang w:val="en-US" w:eastAsia="zh-CN"/>
        </w:rPr>
        <w:t>市场监督管理局分局</w:t>
      </w:r>
      <w:r>
        <w:rPr>
          <w:rFonts w:hint="eastAsia" w:ascii="仿宋" w:hAnsi="仿宋" w:eastAsia="仿宋" w:cs="仿宋"/>
          <w:bCs/>
          <w:color w:val="auto"/>
          <w:sz w:val="32"/>
          <w:szCs w:val="32"/>
        </w:rPr>
        <w:t>初步提交的资料，及网上查阅资料，了解</w:t>
      </w:r>
      <w:r>
        <w:rPr>
          <w:rFonts w:hint="eastAsia" w:ascii="仿宋" w:hAnsi="仿宋" w:eastAsia="仿宋" w:cs="仿宋"/>
          <w:bCs/>
          <w:color w:val="auto"/>
          <w:sz w:val="32"/>
          <w:szCs w:val="32"/>
          <w:lang w:eastAsia="zh-CN"/>
        </w:rPr>
        <w:t>市场监督管理局分局</w:t>
      </w:r>
      <w:r>
        <w:rPr>
          <w:rFonts w:hint="eastAsia" w:ascii="仿宋" w:hAnsi="仿宋" w:eastAsia="仿宋" w:cs="仿宋"/>
          <w:bCs/>
          <w:color w:val="auto"/>
          <w:sz w:val="32"/>
          <w:szCs w:val="32"/>
        </w:rPr>
        <w:t>整体情况、各</w:t>
      </w:r>
      <w:r>
        <w:rPr>
          <w:rFonts w:hint="eastAsia" w:ascii="仿宋" w:hAnsi="仿宋" w:eastAsia="仿宋" w:cs="仿宋"/>
          <w:bCs/>
          <w:color w:val="auto"/>
          <w:sz w:val="32"/>
          <w:szCs w:val="32"/>
          <w:lang w:val="en-US" w:eastAsia="zh-CN"/>
        </w:rPr>
        <w:t>办公室</w:t>
      </w:r>
      <w:r>
        <w:rPr>
          <w:rFonts w:hint="eastAsia" w:ascii="仿宋" w:hAnsi="仿宋" w:eastAsia="仿宋" w:cs="仿宋"/>
          <w:bCs/>
          <w:color w:val="auto"/>
          <w:sz w:val="32"/>
          <w:szCs w:val="32"/>
        </w:rPr>
        <w:t>工作职责及20</w:t>
      </w:r>
      <w:r>
        <w:rPr>
          <w:rFonts w:hint="eastAsia" w:ascii="仿宋" w:hAnsi="仿宋" w:eastAsia="仿宋" w:cs="仿宋"/>
          <w:bCs/>
          <w:color w:val="auto"/>
          <w:sz w:val="32"/>
          <w:szCs w:val="32"/>
          <w:lang w:val="en-US" w:eastAsia="zh-CN"/>
        </w:rPr>
        <w:t>21</w:t>
      </w:r>
      <w:r>
        <w:rPr>
          <w:rFonts w:hint="eastAsia" w:ascii="仿宋" w:hAnsi="仿宋" w:eastAsia="仿宋" w:cs="仿宋"/>
          <w:bCs/>
          <w:color w:val="auto"/>
          <w:sz w:val="32"/>
          <w:szCs w:val="32"/>
        </w:rPr>
        <w:t>年工作完成情况，明确评价思路，初步拟定评价指标体系及评分标准。</w:t>
      </w:r>
    </w:p>
    <w:p w14:paraId="59C19BA8">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2"/>
        <w:rPr>
          <w:rFonts w:ascii="仿宋" w:hAnsi="仿宋" w:eastAsia="仿宋" w:cs="仿宋"/>
          <w:b/>
          <w:color w:val="auto"/>
          <w:sz w:val="32"/>
          <w:szCs w:val="32"/>
        </w:rPr>
      </w:pPr>
      <w:r>
        <w:rPr>
          <w:rFonts w:ascii="仿宋" w:hAnsi="仿宋" w:eastAsia="仿宋" w:cs="仿宋"/>
          <w:b/>
          <w:color w:val="auto"/>
          <w:sz w:val="32"/>
          <w:szCs w:val="32"/>
        </w:rPr>
        <w:t>2.</w:t>
      </w:r>
      <w:r>
        <w:rPr>
          <w:rFonts w:hint="eastAsia" w:ascii="仿宋" w:hAnsi="仿宋" w:eastAsia="仿宋" w:cs="仿宋"/>
          <w:b/>
          <w:color w:val="auto"/>
          <w:sz w:val="32"/>
          <w:szCs w:val="32"/>
        </w:rPr>
        <w:t>实施阶段</w:t>
      </w:r>
    </w:p>
    <w:p w14:paraId="4C432251">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cs="仿宋"/>
          <w:bCs/>
          <w:color w:val="auto"/>
          <w:sz w:val="32"/>
          <w:szCs w:val="32"/>
        </w:rPr>
      </w:pPr>
      <w:r>
        <w:rPr>
          <w:rFonts w:hint="eastAsia" w:ascii="仿宋" w:hAnsi="仿宋" w:eastAsia="仿宋" w:cs="仿宋"/>
          <w:bCs/>
          <w:color w:val="auto"/>
          <w:sz w:val="32"/>
          <w:szCs w:val="32"/>
        </w:rPr>
        <w:t>按照既定的安排开展现场评价工作。评价工作组逐一对单位本级各</w:t>
      </w:r>
      <w:r>
        <w:rPr>
          <w:rFonts w:hint="eastAsia" w:ascii="仿宋" w:hAnsi="仿宋" w:eastAsia="仿宋" w:cs="仿宋"/>
          <w:bCs/>
          <w:color w:val="auto"/>
          <w:sz w:val="32"/>
          <w:szCs w:val="32"/>
          <w:lang w:val="en-US" w:eastAsia="zh-CN"/>
        </w:rPr>
        <w:t>办公室</w:t>
      </w:r>
      <w:r>
        <w:rPr>
          <w:rFonts w:hint="eastAsia" w:ascii="仿宋" w:hAnsi="仿宋" w:eastAsia="仿宋" w:cs="仿宋"/>
          <w:bCs/>
          <w:color w:val="auto"/>
          <w:sz w:val="32"/>
          <w:szCs w:val="32"/>
        </w:rPr>
        <w:t>进行座谈，了解各</w:t>
      </w:r>
      <w:r>
        <w:rPr>
          <w:rFonts w:hint="eastAsia" w:ascii="仿宋" w:hAnsi="仿宋" w:eastAsia="仿宋" w:cs="仿宋"/>
          <w:bCs/>
          <w:color w:val="auto"/>
          <w:sz w:val="32"/>
          <w:szCs w:val="32"/>
          <w:lang w:val="en-US" w:eastAsia="zh-CN"/>
        </w:rPr>
        <w:t>办公室</w:t>
      </w:r>
      <w:r>
        <w:rPr>
          <w:rFonts w:hint="eastAsia" w:ascii="仿宋" w:hAnsi="仿宋" w:eastAsia="仿宋" w:cs="仿宋"/>
          <w:bCs/>
          <w:color w:val="auto"/>
          <w:sz w:val="32"/>
          <w:szCs w:val="32"/>
        </w:rPr>
        <w:t>工作职责、年度工作内容及完成情况等。同时对单位</w:t>
      </w:r>
      <w:r>
        <w:rPr>
          <w:rFonts w:hint="eastAsia" w:ascii="仿宋" w:hAnsi="仿宋" w:eastAsia="仿宋" w:cs="仿宋"/>
          <w:bCs/>
          <w:color w:val="auto"/>
          <w:sz w:val="32"/>
          <w:szCs w:val="32"/>
          <w:lang w:val="en-US" w:eastAsia="zh-CN"/>
        </w:rPr>
        <w:t>2021</w:t>
      </w:r>
      <w:r>
        <w:rPr>
          <w:rFonts w:hint="eastAsia" w:ascii="仿宋" w:hAnsi="仿宋" w:eastAsia="仿宋" w:cs="仿宋"/>
          <w:bCs/>
          <w:color w:val="auto"/>
          <w:sz w:val="32"/>
          <w:szCs w:val="32"/>
        </w:rPr>
        <w:t>年财务工作情况进行梳理及资料查看。</w:t>
      </w:r>
    </w:p>
    <w:p w14:paraId="2F91F437">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在座谈调研沟通的基础上，评价机构通过对项目资料的进一步分析，并结合现场调研了解的情况，对项目的疑难点进行梳理，同时补收评价资料。</w:t>
      </w:r>
    </w:p>
    <w:p w14:paraId="40177C84">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2"/>
        <w:rPr>
          <w:rFonts w:ascii="仿宋" w:hAnsi="仿宋" w:eastAsia="仿宋" w:cs="仿宋"/>
          <w:b/>
          <w:color w:val="auto"/>
          <w:sz w:val="32"/>
          <w:szCs w:val="32"/>
        </w:rPr>
      </w:pPr>
      <w:r>
        <w:rPr>
          <w:rFonts w:ascii="仿宋" w:hAnsi="仿宋" w:eastAsia="仿宋" w:cs="仿宋"/>
          <w:b/>
          <w:color w:val="auto"/>
          <w:sz w:val="32"/>
          <w:szCs w:val="32"/>
        </w:rPr>
        <w:t>3.</w:t>
      </w:r>
      <w:r>
        <w:rPr>
          <w:rFonts w:hint="eastAsia" w:ascii="仿宋" w:hAnsi="仿宋" w:eastAsia="仿宋" w:cs="仿宋"/>
          <w:b/>
          <w:color w:val="auto"/>
          <w:sz w:val="32"/>
          <w:szCs w:val="32"/>
        </w:rPr>
        <w:t>总结报告阶段</w:t>
      </w:r>
    </w:p>
    <w:p w14:paraId="20B5FE8F">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评价工作组在梳理、分析调研资料和相关数据的基础上，结合文献研究，对单位整体的投入、过程、产出和效益等方面进行综合分析和评价，形成绩效评价结论，按照规定的文本格式和内容撰写绩效评价报告</w:t>
      </w:r>
      <w:r>
        <w:rPr>
          <w:rFonts w:hint="eastAsia" w:ascii="仿宋" w:hAnsi="仿宋" w:eastAsia="仿宋" w:cs="仿宋"/>
          <w:bCs/>
          <w:color w:val="auto"/>
          <w:sz w:val="32"/>
          <w:szCs w:val="32"/>
          <w:lang w:eastAsia="zh-CN"/>
        </w:rPr>
        <w:t>，</w:t>
      </w:r>
      <w:r>
        <w:rPr>
          <w:rFonts w:hint="eastAsia" w:ascii="仿宋" w:hAnsi="仿宋" w:eastAsia="仿宋" w:cs="仿宋"/>
          <w:bCs/>
          <w:color w:val="auto"/>
          <w:sz w:val="32"/>
          <w:szCs w:val="32"/>
          <w:lang w:val="en-US" w:eastAsia="zh-CN"/>
        </w:rPr>
        <w:t>并征求委托单位意见，修改完善报告，完成报告质量内部质控等工作</w:t>
      </w:r>
      <w:r>
        <w:rPr>
          <w:rFonts w:hint="eastAsia" w:ascii="仿宋" w:hAnsi="仿宋" w:eastAsia="仿宋" w:cs="仿宋"/>
          <w:bCs/>
          <w:color w:val="auto"/>
          <w:sz w:val="32"/>
          <w:szCs w:val="32"/>
        </w:rPr>
        <w:t>。</w:t>
      </w:r>
    </w:p>
    <w:p w14:paraId="2483D474">
      <w:pPr>
        <w:pStyle w:val="3"/>
        <w:pageBreakBefore w:val="0"/>
        <w:numPr>
          <w:ilvl w:val="0"/>
          <w:numId w:val="0"/>
        </w:numPr>
        <w:kinsoku/>
        <w:wordWrap/>
        <w:overflowPunct/>
        <w:topLinePunct w:val="0"/>
        <w:autoSpaceDE/>
        <w:autoSpaceDN/>
        <w:bidi w:val="0"/>
        <w:spacing w:line="560" w:lineRule="exact"/>
        <w:ind w:leftChars="200"/>
        <w:rPr>
          <w:rFonts w:hint="eastAsia"/>
          <w:color w:val="auto"/>
        </w:rPr>
      </w:pPr>
      <w:r>
        <w:rPr>
          <w:rFonts w:hint="eastAsia"/>
          <w:color w:val="auto"/>
          <w:lang w:eastAsia="zh-CN"/>
        </w:rPr>
        <w:t>四、</w:t>
      </w:r>
      <w:r>
        <w:rPr>
          <w:rFonts w:hint="eastAsia"/>
          <w:color w:val="auto"/>
        </w:rPr>
        <w:t>基本运行绩效情况</w:t>
      </w:r>
    </w:p>
    <w:p w14:paraId="4107AA3B">
      <w:pPr>
        <w:pStyle w:val="5"/>
        <w:pageBreakBefore w:val="0"/>
        <w:widowControl w:val="0"/>
        <w:kinsoku/>
        <w:wordWrap/>
        <w:overflowPunct/>
        <w:topLinePunct w:val="0"/>
        <w:autoSpaceDE/>
        <w:autoSpaceDN/>
        <w:bidi w:val="0"/>
        <w:snapToGrid/>
        <w:spacing w:line="560" w:lineRule="exact"/>
        <w:ind w:left="-10" w:leftChars="0" w:firstLine="643" w:firstLineChars="200"/>
        <w:textAlignment w:val="auto"/>
        <w:rPr>
          <w:color w:val="auto"/>
        </w:rPr>
      </w:pPr>
      <w:r>
        <w:rPr>
          <w:rFonts w:hint="eastAsia"/>
          <w:color w:val="auto"/>
          <w:lang w:val="en-US" w:eastAsia="zh-CN"/>
        </w:rPr>
        <w:t>预算管理情况</w:t>
      </w:r>
    </w:p>
    <w:p w14:paraId="49C58E81">
      <w:pPr>
        <w:pStyle w:val="6"/>
        <w:pageBreakBefore w:val="0"/>
        <w:widowControl w:val="0"/>
        <w:numPr>
          <w:ilvl w:val="-1"/>
          <w:numId w:val="0"/>
          <w:ins w:id="4" w:author="WPS_10036724" w:date=""/>
        </w:numPr>
        <w:kinsoku/>
        <w:wordWrap/>
        <w:overflowPunct/>
        <w:topLinePunct w:val="0"/>
        <w:autoSpaceDE/>
        <w:autoSpaceDN/>
        <w:bidi w:val="0"/>
        <w:snapToGrid/>
        <w:spacing w:line="560" w:lineRule="exact"/>
        <w:ind w:left="0" w:leftChars="0" w:firstLine="842" w:firstLineChars="262"/>
        <w:textAlignment w:val="auto"/>
        <w:outlineLvl w:val="2"/>
        <w:rPr>
          <w:rFonts w:hint="eastAsia" w:ascii="仿宋" w:hAnsi="仿宋" w:eastAsia="仿宋" w:cs="仿宋"/>
          <w:b/>
          <w:bCs w:val="0"/>
          <w:color w:val="auto"/>
        </w:rPr>
      </w:pPr>
      <w:r>
        <w:rPr>
          <w:rFonts w:hint="eastAsia" w:ascii="仿宋" w:hAnsi="仿宋" w:eastAsia="仿宋" w:cs="仿宋"/>
          <w:b/>
          <w:bCs w:val="0"/>
          <w:color w:val="auto"/>
          <w:lang w:val="en-US" w:eastAsia="zh-CN"/>
        </w:rPr>
        <w:t>1、内控</w:t>
      </w:r>
      <w:r>
        <w:rPr>
          <w:rFonts w:hint="eastAsia" w:ascii="仿宋" w:hAnsi="仿宋" w:eastAsia="仿宋" w:cs="仿宋"/>
          <w:b/>
          <w:bCs w:val="0"/>
          <w:color w:val="auto"/>
        </w:rPr>
        <w:t>制度建设</w:t>
      </w:r>
    </w:p>
    <w:p w14:paraId="60437F06">
      <w:pPr>
        <w:pStyle w:val="4"/>
        <w:pageBreakBefore w:val="0"/>
        <w:widowControl w:val="0"/>
        <w:kinsoku/>
        <w:wordWrap/>
        <w:overflowPunct/>
        <w:topLinePunct w:val="0"/>
        <w:autoSpaceDE/>
        <w:autoSpaceDN/>
        <w:bidi w:val="0"/>
        <w:spacing w:line="560" w:lineRule="exact"/>
        <w:ind w:firstLine="640" w:firstLineChars="200"/>
        <w:textAlignment w:val="auto"/>
        <w:rPr>
          <w:rFonts w:hint="default"/>
          <w:color w:val="auto"/>
          <w:highlight w:val="none"/>
          <w:lang w:val="en-US"/>
        </w:rPr>
      </w:pPr>
      <w:r>
        <w:rPr>
          <w:rFonts w:hint="eastAsia"/>
          <w:color w:val="auto"/>
          <w:lang w:val="en-US" w:eastAsia="zh-CN"/>
        </w:rPr>
        <w:t>市场监督管理局分局</w:t>
      </w:r>
      <w:r>
        <w:rPr>
          <w:rFonts w:hint="eastAsia"/>
          <w:color w:val="auto"/>
        </w:rPr>
        <w:t>根据《行政事业单位内部控制规范》（财会〔201</w:t>
      </w:r>
      <w:r>
        <w:rPr>
          <w:rFonts w:hint="eastAsia"/>
          <w:color w:val="auto"/>
          <w:lang w:val="en-US" w:eastAsia="zh-CN"/>
        </w:rPr>
        <w:t>2</w:t>
      </w:r>
      <w:r>
        <w:rPr>
          <w:rFonts w:hint="eastAsia"/>
          <w:color w:val="auto"/>
        </w:rPr>
        <w:t>〕</w:t>
      </w:r>
      <w:r>
        <w:rPr>
          <w:rFonts w:hint="eastAsia"/>
          <w:color w:val="auto"/>
          <w:lang w:val="en-US" w:eastAsia="zh-CN"/>
        </w:rPr>
        <w:t>21</w:t>
      </w:r>
      <w:r>
        <w:rPr>
          <w:rFonts w:hint="eastAsia"/>
          <w:color w:val="auto"/>
        </w:rPr>
        <w:t>号）</w:t>
      </w:r>
      <w:r>
        <w:rPr>
          <w:rFonts w:hint="eastAsia"/>
          <w:color w:val="auto"/>
          <w:lang w:eastAsia="zh-CN"/>
        </w:rPr>
        <w:t>、《财政部关于全面推进行政事业单位内部控制建设的指导意见》</w:t>
      </w:r>
      <w:r>
        <w:rPr>
          <w:rFonts w:hint="eastAsia"/>
          <w:color w:val="auto"/>
        </w:rPr>
        <w:t>财会〔201</w:t>
      </w:r>
      <w:r>
        <w:rPr>
          <w:rFonts w:hint="eastAsia"/>
          <w:color w:val="auto"/>
          <w:lang w:val="en-US" w:eastAsia="zh-CN"/>
        </w:rPr>
        <w:t>5</w:t>
      </w:r>
      <w:r>
        <w:rPr>
          <w:rFonts w:hint="eastAsia"/>
          <w:color w:val="auto"/>
        </w:rPr>
        <w:t>〕</w:t>
      </w:r>
      <w:r>
        <w:rPr>
          <w:rFonts w:hint="eastAsia"/>
          <w:color w:val="auto"/>
          <w:lang w:val="en-US" w:eastAsia="zh-CN"/>
        </w:rPr>
        <w:t>24</w:t>
      </w:r>
      <w:r>
        <w:rPr>
          <w:rFonts w:hint="eastAsia"/>
          <w:color w:val="auto"/>
        </w:rPr>
        <w:t>号）和《行政事业单位内部控制报告管理制度（</w:t>
      </w:r>
      <w:r>
        <w:rPr>
          <w:rFonts w:hint="eastAsia"/>
          <w:color w:val="auto"/>
          <w:highlight w:val="none"/>
        </w:rPr>
        <w:t>试行）（</w:t>
      </w:r>
      <w:r>
        <w:rPr>
          <w:rFonts w:hint="eastAsia"/>
          <w:color w:val="auto"/>
          <w:highlight w:val="none"/>
          <w:lang w:val="en-US" w:eastAsia="zh-CN"/>
        </w:rPr>
        <w:t>财政部</w:t>
      </w:r>
      <w:r>
        <w:rPr>
          <w:rFonts w:hint="eastAsia"/>
          <w:color w:val="auto"/>
          <w:highlight w:val="none"/>
        </w:rPr>
        <w:t>〔201</w:t>
      </w:r>
      <w:r>
        <w:rPr>
          <w:rFonts w:hint="eastAsia"/>
          <w:color w:val="auto"/>
          <w:highlight w:val="none"/>
          <w:lang w:val="en-US" w:eastAsia="zh-CN"/>
        </w:rPr>
        <w:t>7</w:t>
      </w:r>
      <w:r>
        <w:rPr>
          <w:rFonts w:hint="eastAsia"/>
          <w:color w:val="auto"/>
          <w:highlight w:val="none"/>
        </w:rPr>
        <w:t>〕</w:t>
      </w:r>
      <w:r>
        <w:rPr>
          <w:rFonts w:hint="eastAsia"/>
          <w:color w:val="auto"/>
          <w:highlight w:val="none"/>
          <w:lang w:val="en-US" w:eastAsia="zh-CN"/>
        </w:rPr>
        <w:t>3</w:t>
      </w:r>
      <w:r>
        <w:rPr>
          <w:rFonts w:hint="eastAsia"/>
          <w:color w:val="auto"/>
          <w:highlight w:val="none"/>
        </w:rPr>
        <w:t>号）和自身工作管理实际情况，</w:t>
      </w:r>
      <w:r>
        <w:rPr>
          <w:rFonts w:hint="eastAsia"/>
          <w:color w:val="auto"/>
          <w:highlight w:val="none"/>
          <w:lang w:val="en-US" w:eastAsia="zh-CN"/>
        </w:rPr>
        <w:t>制定</w:t>
      </w:r>
      <w:r>
        <w:rPr>
          <w:rFonts w:hint="eastAsia"/>
          <w:color w:val="auto"/>
          <w:highlight w:val="none"/>
        </w:rPr>
        <w:t>《</w:t>
      </w:r>
      <w:r>
        <w:rPr>
          <w:rFonts w:hint="eastAsia"/>
          <w:color w:val="auto"/>
          <w:highlight w:val="none"/>
          <w:lang w:val="en-US" w:eastAsia="zh-CN"/>
        </w:rPr>
        <w:t>遂宁市市场监督管理局河东新区分局内部控制规范建设手册汇编》</w:t>
      </w:r>
      <w:r>
        <w:rPr>
          <w:rFonts w:hint="eastAsia"/>
          <w:color w:val="auto"/>
          <w:highlight w:val="none"/>
        </w:rPr>
        <w:t>，</w:t>
      </w:r>
      <w:r>
        <w:rPr>
          <w:rFonts w:hint="eastAsia"/>
          <w:color w:val="auto"/>
          <w:highlight w:val="none"/>
          <w:lang w:val="en-US" w:eastAsia="zh-CN"/>
        </w:rPr>
        <w:t>内容明确</w:t>
      </w:r>
      <w:r>
        <w:rPr>
          <w:rFonts w:hint="eastAsia"/>
          <w:color w:val="auto"/>
          <w:highlight w:val="none"/>
        </w:rPr>
        <w:t>了</w:t>
      </w:r>
      <w:r>
        <w:rPr>
          <w:rFonts w:hint="eastAsia"/>
          <w:color w:val="auto"/>
          <w:highlight w:val="none"/>
          <w:lang w:eastAsia="zh-CN"/>
        </w:rPr>
        <w:t>市场监督管理局分局</w:t>
      </w:r>
      <w:r>
        <w:rPr>
          <w:rFonts w:hint="eastAsia"/>
          <w:color w:val="auto"/>
          <w:highlight w:val="none"/>
        </w:rPr>
        <w:t>管理机构</w:t>
      </w:r>
      <w:r>
        <w:rPr>
          <w:rFonts w:hint="eastAsia"/>
          <w:color w:val="auto"/>
          <w:highlight w:val="none"/>
          <w:lang w:eastAsia="zh-CN"/>
        </w:rPr>
        <w:t>、</w:t>
      </w:r>
      <w:r>
        <w:rPr>
          <w:rFonts w:hint="eastAsia"/>
          <w:color w:val="auto"/>
          <w:highlight w:val="none"/>
          <w:lang w:val="en-US" w:eastAsia="zh-CN"/>
        </w:rPr>
        <w:t>职责</w:t>
      </w:r>
      <w:r>
        <w:rPr>
          <w:rFonts w:hint="eastAsia"/>
          <w:color w:val="auto"/>
          <w:highlight w:val="none"/>
        </w:rPr>
        <w:t>、</w:t>
      </w:r>
      <w:r>
        <w:rPr>
          <w:rFonts w:hint="eastAsia"/>
          <w:color w:val="auto"/>
          <w:highlight w:val="none"/>
          <w:lang w:val="en-US" w:eastAsia="zh-CN"/>
        </w:rPr>
        <w:t>预算业务控制建设、收支业务控制建设、资产业务控制建设、采购业务控制建设、合同业务控制建设和内部控制评价与监督等内容</w:t>
      </w:r>
      <w:r>
        <w:rPr>
          <w:rFonts w:hint="eastAsia"/>
          <w:color w:val="auto"/>
          <w:highlight w:val="none"/>
        </w:rPr>
        <w:t>。经评价组核查，</w:t>
      </w:r>
      <w:r>
        <w:rPr>
          <w:rFonts w:hint="eastAsia"/>
          <w:color w:val="auto"/>
          <w:highlight w:val="none"/>
          <w:lang w:val="en-US" w:eastAsia="zh-CN"/>
        </w:rPr>
        <w:t>制度内容合法规范，图表完整。</w:t>
      </w:r>
    </w:p>
    <w:p w14:paraId="0816CA67">
      <w:pPr>
        <w:pStyle w:val="4"/>
        <w:pageBreakBefore w:val="0"/>
        <w:widowControl w:val="0"/>
        <w:kinsoku/>
        <w:wordWrap/>
        <w:overflowPunct/>
        <w:topLinePunct w:val="0"/>
        <w:autoSpaceDE/>
        <w:autoSpaceDN/>
        <w:bidi w:val="0"/>
        <w:spacing w:line="560" w:lineRule="exact"/>
        <w:ind w:firstLine="643" w:firstLineChars="200"/>
        <w:textAlignment w:val="auto"/>
        <w:outlineLvl w:val="2"/>
        <w:rPr>
          <w:rFonts w:hint="default"/>
          <w:b/>
          <w:bCs/>
          <w:color w:val="auto"/>
          <w:highlight w:val="none"/>
          <w:lang w:val="en-US" w:eastAsia="zh-CN"/>
        </w:rPr>
      </w:pPr>
      <w:r>
        <w:rPr>
          <w:rFonts w:hint="eastAsia"/>
          <w:b/>
          <w:bCs/>
          <w:color w:val="auto"/>
          <w:highlight w:val="none"/>
          <w:lang w:val="en-US" w:eastAsia="zh-CN"/>
        </w:rPr>
        <w:t>2、预决算信息公开情况</w:t>
      </w:r>
    </w:p>
    <w:p w14:paraId="6F32165D">
      <w:pPr>
        <w:pStyle w:val="4"/>
        <w:pageBreakBefore w:val="0"/>
        <w:widowControl w:val="0"/>
        <w:kinsoku/>
        <w:wordWrap/>
        <w:overflowPunct/>
        <w:topLinePunct w:val="0"/>
        <w:autoSpaceDE/>
        <w:autoSpaceDN/>
        <w:bidi w:val="0"/>
        <w:snapToGrid/>
        <w:spacing w:line="560" w:lineRule="exact"/>
        <w:ind w:firstLine="640" w:firstLineChars="200"/>
        <w:textAlignment w:val="auto"/>
        <w:rPr>
          <w:rFonts w:hint="eastAsia"/>
          <w:color w:val="auto"/>
          <w:highlight w:val="none"/>
          <w:lang w:val="en-US" w:eastAsia="zh-CN"/>
        </w:rPr>
      </w:pPr>
      <w:r>
        <w:rPr>
          <w:rFonts w:hint="eastAsia"/>
          <w:color w:val="auto"/>
          <w:highlight w:val="none"/>
          <w:lang w:val="en-US" w:eastAsia="zh-CN"/>
        </w:rPr>
        <w:t>市场监督管理局分局</w:t>
      </w:r>
      <w:r>
        <w:rPr>
          <w:rFonts w:hint="eastAsia"/>
          <w:color w:val="auto"/>
          <w:lang w:val="en-US" w:eastAsia="zh-CN"/>
        </w:rPr>
        <w:t>严格按照遂宁市河东新区国资金融局预决算信息公开要求，</w:t>
      </w:r>
      <w:r>
        <w:rPr>
          <w:rFonts w:hint="eastAsia"/>
          <w:color w:val="auto"/>
          <w:highlight w:val="none"/>
          <w:lang w:val="en-US" w:eastAsia="zh-CN"/>
        </w:rPr>
        <w:t>2021年预算编制说明和附件、2021年决算公开编制说明和附件已按规定公开于遂宁市河东新区政府信息公开网</w:t>
      </w:r>
      <w:r>
        <w:rPr>
          <w:rFonts w:hint="eastAsia"/>
          <w:color w:val="auto"/>
          <w:lang w:val="en-US" w:eastAsia="zh-CN"/>
        </w:rPr>
        <w:t>，信息真实、完整</w:t>
      </w:r>
      <w:r>
        <w:rPr>
          <w:rFonts w:hint="eastAsia"/>
          <w:color w:val="auto"/>
          <w:highlight w:val="none"/>
          <w:lang w:val="en-US" w:eastAsia="zh-CN"/>
        </w:rPr>
        <w:t>，符合信息公开相关法律法规规定。</w:t>
      </w:r>
    </w:p>
    <w:p w14:paraId="532C43C4">
      <w:pPr>
        <w:pStyle w:val="5"/>
        <w:pageBreakBefore w:val="0"/>
        <w:widowControl w:val="0"/>
        <w:kinsoku/>
        <w:wordWrap/>
        <w:overflowPunct/>
        <w:topLinePunct w:val="0"/>
        <w:autoSpaceDE/>
        <w:autoSpaceDN/>
        <w:bidi w:val="0"/>
        <w:snapToGrid/>
        <w:spacing w:line="560" w:lineRule="exact"/>
        <w:ind w:left="-10" w:leftChars="0" w:firstLine="643" w:firstLineChars="200"/>
        <w:textAlignment w:val="auto"/>
        <w:rPr>
          <w:color w:val="auto"/>
        </w:rPr>
      </w:pPr>
      <w:r>
        <w:rPr>
          <w:rFonts w:hint="eastAsia"/>
          <w:color w:val="auto"/>
        </w:rPr>
        <w:t>财务管理</w:t>
      </w:r>
    </w:p>
    <w:p w14:paraId="6D2313FD">
      <w:pPr>
        <w:pStyle w:val="4"/>
        <w:pageBreakBefore w:val="0"/>
        <w:widowControl w:val="0"/>
        <w:kinsoku/>
        <w:wordWrap/>
        <w:overflowPunct/>
        <w:topLinePunct w:val="0"/>
        <w:autoSpaceDE/>
        <w:autoSpaceDN/>
        <w:bidi w:val="0"/>
        <w:snapToGrid/>
        <w:spacing w:line="560" w:lineRule="exact"/>
        <w:ind w:firstLine="640" w:firstLineChars="200"/>
        <w:textAlignment w:val="auto"/>
        <w:rPr>
          <w:rFonts w:hint="eastAsia"/>
          <w:color w:val="auto"/>
          <w:lang w:val="en-US" w:eastAsia="zh-CN"/>
        </w:rPr>
      </w:pPr>
      <w:r>
        <w:rPr>
          <w:rFonts w:hint="eastAsia"/>
          <w:color w:val="auto"/>
          <w:lang w:val="en-US" w:eastAsia="zh-CN"/>
        </w:rPr>
        <w:t>在资金的使用和管理方面，市场监督管理局分局依据《中华人民共和国会计法》等相关管理办法和文件，制定《财务管理制度》、《报销票据的管理制度》、经费报销管理制度》等相关财务制度，</w:t>
      </w:r>
      <w:r>
        <w:rPr>
          <w:color w:val="auto"/>
        </w:rPr>
        <w:t>对财务报销、</w:t>
      </w:r>
      <w:r>
        <w:rPr>
          <w:rFonts w:hint="eastAsia"/>
          <w:color w:val="auto"/>
          <w:lang w:val="en-US" w:eastAsia="zh-CN"/>
        </w:rPr>
        <w:t>差旅费</w:t>
      </w:r>
      <w:r>
        <w:rPr>
          <w:color w:val="auto"/>
        </w:rPr>
        <w:t>等各环节作了详细规定</w:t>
      </w:r>
      <w:r>
        <w:rPr>
          <w:rFonts w:hint="eastAsia"/>
          <w:color w:val="auto"/>
          <w:lang w:eastAsia="zh-CN"/>
        </w:rPr>
        <w:t>，</w:t>
      </w:r>
      <w:r>
        <w:rPr>
          <w:rFonts w:hint="eastAsia"/>
          <w:color w:val="auto"/>
          <w:lang w:val="en-US" w:eastAsia="zh-CN"/>
        </w:rPr>
        <w:t>财务管理制度规范、健全。评价组随机抽查“信息化建设”、</w:t>
      </w:r>
    </w:p>
    <w:p w14:paraId="6E213737">
      <w:pPr>
        <w:pStyle w:val="4"/>
        <w:pageBreakBefore w:val="0"/>
        <w:widowControl w:val="0"/>
        <w:kinsoku/>
        <w:wordWrap/>
        <w:overflowPunct/>
        <w:topLinePunct w:val="0"/>
        <w:autoSpaceDE/>
        <w:autoSpaceDN/>
        <w:bidi w:val="0"/>
        <w:snapToGrid/>
        <w:spacing w:line="560" w:lineRule="exact"/>
        <w:ind w:left="0" w:leftChars="0" w:firstLine="0" w:firstLineChars="0"/>
        <w:textAlignment w:val="auto"/>
        <w:rPr>
          <w:rFonts w:hint="eastAsia" w:eastAsia="仿宋_GB2312"/>
          <w:color w:val="auto"/>
          <w:lang w:val="en-US" w:eastAsia="zh-CN"/>
        </w:rPr>
      </w:pPr>
      <w:r>
        <w:rPr>
          <w:rFonts w:hint="eastAsia"/>
          <w:color w:val="auto"/>
          <w:lang w:val="en-US" w:eastAsia="zh-CN"/>
        </w:rPr>
        <w:t>“市场主体管理”和“市场秩序执法”项目的</w:t>
      </w:r>
      <w:r>
        <w:rPr>
          <w:rFonts w:hint="eastAsia"/>
          <w:color w:val="auto"/>
        </w:rPr>
        <w:t>凭证</w:t>
      </w:r>
      <w:r>
        <w:rPr>
          <w:rFonts w:hint="eastAsia"/>
          <w:color w:val="auto"/>
          <w:lang w:eastAsia="zh-CN"/>
        </w:rPr>
        <w:t>，</w:t>
      </w:r>
      <w:r>
        <w:rPr>
          <w:rFonts w:hint="eastAsia"/>
          <w:color w:val="auto"/>
          <w:lang w:val="en-US" w:eastAsia="zh-CN"/>
        </w:rPr>
        <w:t>市场监督管理局分局按照规定程序，</w:t>
      </w:r>
      <w:r>
        <w:rPr>
          <w:rFonts w:hint="eastAsia"/>
          <w:color w:val="auto"/>
        </w:rPr>
        <w:t>票据齐全</w:t>
      </w:r>
      <w:r>
        <w:rPr>
          <w:rFonts w:hint="eastAsia"/>
          <w:color w:val="auto"/>
          <w:lang w:eastAsia="zh-CN"/>
        </w:rPr>
        <w:t>，</w:t>
      </w:r>
      <w:r>
        <w:rPr>
          <w:rFonts w:hint="eastAsia"/>
          <w:color w:val="auto"/>
          <w:lang w:val="en-US" w:eastAsia="zh-CN"/>
        </w:rPr>
        <w:t>实行逐级审批后支付，</w:t>
      </w:r>
      <w:r>
        <w:rPr>
          <w:rFonts w:hint="eastAsia"/>
          <w:color w:val="auto"/>
        </w:rPr>
        <w:t>审批流程规范</w:t>
      </w:r>
      <w:r>
        <w:rPr>
          <w:rFonts w:hint="eastAsia"/>
          <w:color w:val="auto"/>
          <w:lang w:eastAsia="zh-CN"/>
        </w:rPr>
        <w:t>，</w:t>
      </w:r>
      <w:r>
        <w:rPr>
          <w:rFonts w:hint="eastAsia"/>
          <w:color w:val="auto"/>
          <w:lang w:val="en-US" w:eastAsia="zh-CN"/>
        </w:rPr>
        <w:t>符合管理制度的规定</w:t>
      </w:r>
      <w:r>
        <w:rPr>
          <w:rFonts w:hint="eastAsia"/>
          <w:color w:val="auto"/>
          <w:lang w:eastAsia="zh-CN"/>
        </w:rPr>
        <w:t>。</w:t>
      </w:r>
    </w:p>
    <w:p w14:paraId="6E219E17">
      <w:pPr>
        <w:pStyle w:val="5"/>
        <w:pageBreakBefore w:val="0"/>
        <w:widowControl w:val="0"/>
        <w:kinsoku/>
        <w:wordWrap/>
        <w:overflowPunct/>
        <w:topLinePunct w:val="0"/>
        <w:autoSpaceDE/>
        <w:autoSpaceDN/>
        <w:bidi w:val="0"/>
        <w:snapToGrid/>
        <w:spacing w:line="560" w:lineRule="exact"/>
        <w:ind w:left="-10" w:leftChars="0" w:firstLine="643" w:firstLineChars="200"/>
        <w:textAlignment w:val="auto"/>
        <w:rPr>
          <w:rFonts w:hint="eastAsia"/>
          <w:color w:val="auto"/>
          <w:lang w:val="en-US" w:eastAsia="zh-CN"/>
        </w:rPr>
      </w:pPr>
      <w:r>
        <w:rPr>
          <w:rFonts w:hint="eastAsia"/>
          <w:color w:val="auto"/>
          <w:lang w:val="en-US" w:eastAsia="zh-Hans"/>
        </w:rPr>
        <w:t>政府采购</w:t>
      </w:r>
    </w:p>
    <w:p w14:paraId="60EB15C3">
      <w:pPr>
        <w:pStyle w:val="4"/>
        <w:pageBreakBefore w:val="0"/>
        <w:kinsoku/>
        <w:wordWrap/>
        <w:overflowPunct/>
        <w:topLinePunct w:val="0"/>
        <w:autoSpaceDE/>
        <w:autoSpaceDN/>
        <w:bidi w:val="0"/>
        <w:spacing w:line="560" w:lineRule="exact"/>
        <w:ind w:firstLine="640" w:firstLineChars="200"/>
        <w:textAlignment w:val="auto"/>
        <w:rPr>
          <w:rFonts w:hint="default"/>
          <w:color w:val="auto"/>
          <w:highlight w:val="yellow"/>
          <w:lang w:val="en-US" w:eastAsia="zh-CN"/>
        </w:rPr>
      </w:pPr>
      <w:r>
        <w:rPr>
          <w:rFonts w:hint="eastAsia"/>
          <w:color w:val="auto"/>
          <w:lang w:val="en-US" w:eastAsia="zh-CN"/>
        </w:rPr>
        <w:t>市场监督管理局分局制定《采购业务控制建设》制度，形成了公平竞争、规范管理和社会监督的政府采购机制。</w:t>
      </w:r>
    </w:p>
    <w:p w14:paraId="02B07018">
      <w:pPr>
        <w:pStyle w:val="5"/>
        <w:pageBreakBefore w:val="0"/>
        <w:widowControl w:val="0"/>
        <w:kinsoku/>
        <w:wordWrap/>
        <w:overflowPunct/>
        <w:topLinePunct w:val="0"/>
        <w:autoSpaceDE/>
        <w:autoSpaceDN/>
        <w:bidi w:val="0"/>
        <w:snapToGrid/>
        <w:spacing w:line="560" w:lineRule="exact"/>
        <w:ind w:left="-10" w:leftChars="0" w:firstLine="643" w:firstLineChars="200"/>
        <w:textAlignment w:val="auto"/>
        <w:rPr>
          <w:rFonts w:hint="eastAsia"/>
          <w:color w:val="auto"/>
          <w:lang w:val="en-US" w:eastAsia="zh-CN"/>
        </w:rPr>
      </w:pPr>
      <w:r>
        <w:rPr>
          <w:rFonts w:hint="eastAsia"/>
          <w:color w:val="auto"/>
          <w:lang w:val="en-US" w:eastAsia="zh-CN"/>
        </w:rPr>
        <w:t>资产管理情况</w:t>
      </w:r>
    </w:p>
    <w:p w14:paraId="58993820">
      <w:pPr>
        <w:pStyle w:val="4"/>
        <w:pageBreakBefore w:val="0"/>
        <w:kinsoku/>
        <w:wordWrap/>
        <w:overflowPunct/>
        <w:topLinePunct w:val="0"/>
        <w:autoSpaceDE/>
        <w:autoSpaceDN/>
        <w:bidi w:val="0"/>
        <w:spacing w:line="560" w:lineRule="exact"/>
        <w:ind w:firstLine="640" w:firstLineChars="200"/>
        <w:textAlignment w:val="auto"/>
        <w:rPr>
          <w:rFonts w:hint="eastAsia"/>
          <w:color w:val="auto"/>
          <w:highlight w:val="none"/>
          <w:lang w:val="en-US" w:eastAsia="zh-CN"/>
        </w:rPr>
      </w:pPr>
      <w:r>
        <w:rPr>
          <w:rFonts w:hint="eastAsia"/>
          <w:color w:val="auto"/>
          <w:lang w:val="en-US" w:eastAsia="zh-CN"/>
        </w:rPr>
        <w:t>市场监督管理局分局依据《行政单位财务规则》（财政部令〔2012〕第71号）等文件的规定，结合市场监督管理局分局实际情况，制定《资产业务控制建设》，明确固定资产按照“资产管理与预算管理相结合、资产管理与财务管理相结合、实物管理与价值管理相结合”及“统一领导、分级管理、责任到人、合理配备、规范管理”的原则实施管理，对固定资产的固定资产</w:t>
      </w:r>
      <w:r>
        <w:rPr>
          <w:rFonts w:hint="eastAsia"/>
          <w:color w:val="auto"/>
          <w:highlight w:val="none"/>
          <w:lang w:val="en-US" w:eastAsia="zh-CN"/>
        </w:rPr>
        <w:t>范围、分类、计价、配置、使用、处置等流程也有明确规定。针对固定资产在用情况，评价组对市场监督管理局分局2021年购置的通用设备如保密柜、监控显示器、东芝黑白复合机等进行了抽查工作，抽查设备均处于在用状态，固定资产在用状态与实际一致。</w:t>
      </w:r>
    </w:p>
    <w:p w14:paraId="44EA2779">
      <w:pPr>
        <w:pStyle w:val="3"/>
        <w:pageBreakBefore w:val="0"/>
        <w:numPr>
          <w:ilvl w:val="0"/>
          <w:numId w:val="0"/>
        </w:numPr>
        <w:kinsoku/>
        <w:wordWrap/>
        <w:overflowPunct/>
        <w:topLinePunct w:val="0"/>
        <w:autoSpaceDE/>
        <w:autoSpaceDN/>
        <w:bidi w:val="0"/>
        <w:spacing w:line="560" w:lineRule="exact"/>
        <w:ind w:leftChars="200"/>
        <w:rPr>
          <w:rFonts w:hint="eastAsia" w:ascii="Times New Roman" w:hAnsi="Times New Roman" w:eastAsia="黑体" w:cs="Times New Roman"/>
          <w:bCs/>
          <w:color w:val="auto"/>
          <w:kern w:val="44"/>
          <w:sz w:val="32"/>
          <w:szCs w:val="32"/>
          <w:lang w:val="zh-CN" w:eastAsia="zh-CN" w:bidi="ar-SA"/>
        </w:rPr>
      </w:pPr>
      <w:r>
        <w:rPr>
          <w:rFonts w:hint="eastAsia" w:cs="Times New Roman"/>
          <w:bCs/>
          <w:color w:val="auto"/>
          <w:kern w:val="44"/>
          <w:sz w:val="32"/>
          <w:szCs w:val="32"/>
          <w:lang w:val="zh-CN" w:eastAsia="zh-CN" w:bidi="ar-SA"/>
        </w:rPr>
        <w:t>五、</w:t>
      </w:r>
      <w:r>
        <w:rPr>
          <w:rFonts w:hint="eastAsia" w:ascii="Times New Roman" w:hAnsi="Times New Roman" w:eastAsia="黑体" w:cs="Times New Roman"/>
          <w:bCs/>
          <w:color w:val="auto"/>
          <w:kern w:val="44"/>
          <w:sz w:val="32"/>
          <w:szCs w:val="32"/>
          <w:lang w:val="zh-CN" w:eastAsia="zh-CN" w:bidi="ar-SA"/>
        </w:rPr>
        <w:t>部门</w:t>
      </w:r>
      <w:r>
        <w:rPr>
          <w:rFonts w:hint="eastAsia"/>
          <w:color w:val="auto"/>
          <w:szCs w:val="32"/>
          <w:lang w:val="en-US" w:eastAsia="zh-CN"/>
        </w:rPr>
        <w:t>重点</w:t>
      </w:r>
      <w:r>
        <w:rPr>
          <w:rFonts w:hint="eastAsia" w:ascii="Times New Roman" w:hAnsi="Times New Roman" w:eastAsia="黑体" w:cs="Times New Roman"/>
          <w:bCs/>
          <w:color w:val="auto"/>
          <w:kern w:val="44"/>
          <w:sz w:val="32"/>
          <w:szCs w:val="32"/>
          <w:lang w:val="zh-CN" w:eastAsia="zh-CN" w:bidi="ar-SA"/>
        </w:rPr>
        <w:t>履职效能</w:t>
      </w:r>
    </w:p>
    <w:p w14:paraId="433B9730">
      <w:pPr>
        <w:pStyle w:val="5"/>
        <w:pageBreakBefore w:val="0"/>
        <w:widowControl w:val="0"/>
        <w:kinsoku/>
        <w:wordWrap/>
        <w:overflowPunct/>
        <w:topLinePunct w:val="0"/>
        <w:autoSpaceDE/>
        <w:autoSpaceDN/>
        <w:bidi w:val="0"/>
        <w:spacing w:line="560" w:lineRule="exact"/>
        <w:ind w:firstLine="643" w:firstLineChars="200"/>
        <w:textAlignment w:val="auto"/>
        <w:rPr>
          <w:color w:val="auto"/>
        </w:rPr>
      </w:pPr>
      <w:r>
        <w:rPr>
          <w:rFonts w:hint="eastAsia"/>
          <w:color w:val="auto"/>
        </w:rPr>
        <w:t>部门履职的年度总体目标</w:t>
      </w:r>
    </w:p>
    <w:p w14:paraId="753DE69B">
      <w:pPr>
        <w:pStyle w:val="4"/>
        <w:pageBreakBefore w:val="0"/>
        <w:widowControl w:val="0"/>
        <w:kinsoku/>
        <w:wordWrap/>
        <w:overflowPunct/>
        <w:topLinePunct w:val="0"/>
        <w:autoSpaceDE/>
        <w:autoSpaceDN/>
        <w:bidi w:val="0"/>
        <w:spacing w:line="560" w:lineRule="exact"/>
        <w:ind w:firstLine="640" w:firstLineChars="200"/>
        <w:textAlignment w:val="auto"/>
        <w:rPr>
          <w:rFonts w:hint="default"/>
          <w:color w:val="auto"/>
          <w:highlight w:val="none"/>
          <w:lang w:val="en-US" w:eastAsia="zh-CN"/>
        </w:rPr>
      </w:pPr>
      <w:r>
        <w:rPr>
          <w:rFonts w:hint="eastAsia"/>
          <w:color w:val="auto"/>
          <w:highlight w:val="none"/>
          <w:lang w:val="en-US" w:eastAsia="zh-CN"/>
        </w:rPr>
        <w:t>2021年，市场监督管理局分局</w:t>
      </w:r>
      <w:r>
        <w:rPr>
          <w:rFonts w:hint="default"/>
          <w:color w:val="auto"/>
          <w:highlight w:val="none"/>
          <w:lang w:val="en-US" w:eastAsia="zh-CN"/>
        </w:rPr>
        <w:t>按照市委、市政府总体部署和工作要求</w:t>
      </w:r>
      <w:r>
        <w:rPr>
          <w:rFonts w:hint="eastAsia"/>
          <w:color w:val="auto"/>
          <w:highlight w:val="none"/>
          <w:lang w:val="en-US" w:eastAsia="zh-CN"/>
        </w:rPr>
        <w:t>，以</w:t>
      </w:r>
      <w:r>
        <w:rPr>
          <w:rFonts w:hint="eastAsia" w:ascii="仿宋" w:hAnsi="仿宋" w:eastAsia="仿宋" w:cs="仿宋_GB2312"/>
          <w:szCs w:val="32"/>
          <w:highlight w:val="none"/>
          <w:lang w:val="zh-CN"/>
        </w:rPr>
        <w:t>“对标竞进、提质发展”</w:t>
      </w:r>
      <w:r>
        <w:rPr>
          <w:rFonts w:hint="eastAsia"/>
          <w:color w:val="auto"/>
          <w:highlight w:val="none"/>
          <w:lang w:val="en-US" w:eastAsia="zh-CN"/>
        </w:rPr>
        <w:t>为目标，严格抓好遂宁市河东新区诚信经营、安全监管及专项执法工作，促进河东新区市场规范化、创新性发展。</w:t>
      </w:r>
    </w:p>
    <w:p w14:paraId="4BDC63D0">
      <w:pPr>
        <w:pStyle w:val="5"/>
        <w:pageBreakBefore w:val="0"/>
        <w:widowControl w:val="0"/>
        <w:kinsoku/>
        <w:wordWrap/>
        <w:overflowPunct/>
        <w:topLinePunct w:val="0"/>
        <w:autoSpaceDE/>
        <w:autoSpaceDN/>
        <w:bidi w:val="0"/>
        <w:spacing w:line="560" w:lineRule="exact"/>
        <w:ind w:firstLine="643" w:firstLineChars="200"/>
        <w:textAlignment w:val="auto"/>
        <w:rPr>
          <w:color w:val="auto"/>
        </w:rPr>
      </w:pPr>
      <w:r>
        <w:rPr>
          <w:rFonts w:hint="eastAsia"/>
          <w:color w:val="auto"/>
        </w:rPr>
        <w:t>重点工作任务绩效目标完成情况</w:t>
      </w:r>
    </w:p>
    <w:p w14:paraId="65C8452E">
      <w:pPr>
        <w:pStyle w:val="6"/>
        <w:keepNext/>
        <w:keepLines/>
        <w:pageBreakBefore w:val="0"/>
        <w:widowControl w:val="0"/>
        <w:numPr>
          <w:ilvl w:val="2"/>
          <w:numId w:val="0"/>
        </w:numPr>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Times New Roman"/>
          <w:color w:val="auto"/>
          <w:kern w:val="0"/>
          <w:sz w:val="32"/>
          <w:szCs w:val="28"/>
          <w:highlight w:val="none"/>
          <w:lang w:val="en-US" w:eastAsia="zh-CN" w:bidi="ar-SA"/>
        </w:rPr>
      </w:pPr>
      <w:r>
        <w:rPr>
          <w:rFonts w:hint="eastAsia" w:ascii="Times New Roman" w:hAnsi="Times New Roman" w:cs="Times New Roman"/>
          <w:b/>
          <w:bCs w:val="0"/>
          <w:color w:val="auto"/>
          <w:lang w:val="en-US" w:eastAsia="zh-CN"/>
        </w:rPr>
        <w:t>1.加大监管力度，持续筑牢安全底线</w:t>
      </w:r>
    </w:p>
    <w:p w14:paraId="152E1D38">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仿宋" w:cs="Times New Roman"/>
          <w:color w:val="auto"/>
          <w:kern w:val="0"/>
          <w:sz w:val="32"/>
          <w:szCs w:val="28"/>
          <w:highlight w:val="none"/>
          <w:lang w:val="en-US" w:eastAsia="zh-CN" w:bidi="ar-SA"/>
        </w:rPr>
      </w:pPr>
      <w:r>
        <w:rPr>
          <w:rFonts w:hint="eastAsia" w:ascii="仿宋" w:hAnsi="仿宋" w:eastAsia="仿宋" w:cs="仿宋_GB2312"/>
          <w:sz w:val="32"/>
          <w:szCs w:val="32"/>
          <w:lang w:val="zh-CN"/>
        </w:rPr>
        <w:t>食品安全党政同责案件查办率居全市第一，食品生产、流通、餐饮环节风险分级实现全覆盖，食品、食用农产品抽检合格率分别为96%、9</w:t>
      </w:r>
      <w:r>
        <w:rPr>
          <w:rFonts w:ascii="仿宋" w:hAnsi="仿宋" w:eastAsia="仿宋" w:cs="仿宋_GB2312"/>
          <w:sz w:val="32"/>
          <w:szCs w:val="32"/>
          <w:lang w:val="zh-CN"/>
        </w:rPr>
        <w:t>9</w:t>
      </w:r>
      <w:r>
        <w:rPr>
          <w:rFonts w:hint="eastAsia" w:ascii="仿宋" w:hAnsi="仿宋" w:eastAsia="仿宋" w:cs="仿宋_GB2312"/>
          <w:sz w:val="32"/>
          <w:szCs w:val="32"/>
          <w:lang w:val="zh-CN"/>
        </w:rPr>
        <w:t>%，服务重大食品安全保障27起</w:t>
      </w:r>
      <w:r>
        <w:rPr>
          <w:rFonts w:ascii="仿宋" w:hAnsi="仿宋" w:eastAsia="仿宋" w:cs="仿宋_GB2312"/>
          <w:sz w:val="32"/>
          <w:szCs w:val="32"/>
          <w:lang w:val="zh-CN"/>
        </w:rPr>
        <w:t>，</w:t>
      </w:r>
      <w:r>
        <w:rPr>
          <w:rFonts w:hint="eastAsia" w:ascii="仿宋" w:hAnsi="仿宋" w:eastAsia="仿宋" w:cs="仿宋_GB2312"/>
          <w:sz w:val="32"/>
          <w:szCs w:val="32"/>
          <w:lang w:val="zh-CN"/>
        </w:rPr>
        <w:t>冷链食品“1+</w:t>
      </w:r>
      <w:r>
        <w:rPr>
          <w:rFonts w:ascii="仿宋" w:hAnsi="仿宋" w:eastAsia="仿宋" w:cs="仿宋_GB2312"/>
          <w:sz w:val="32"/>
          <w:szCs w:val="32"/>
          <w:lang w:val="zh-CN"/>
        </w:rPr>
        <w:t>2</w:t>
      </w:r>
      <w:r>
        <w:rPr>
          <w:rFonts w:hint="eastAsia" w:ascii="仿宋" w:hAnsi="仿宋" w:eastAsia="仿宋" w:cs="仿宋_GB2312"/>
          <w:sz w:val="32"/>
          <w:szCs w:val="32"/>
          <w:lang w:val="zh-CN"/>
        </w:rPr>
        <w:t>+</w:t>
      </w:r>
      <w:r>
        <w:rPr>
          <w:rFonts w:ascii="仿宋" w:hAnsi="仿宋" w:eastAsia="仿宋" w:cs="仿宋_GB2312"/>
          <w:sz w:val="32"/>
          <w:szCs w:val="32"/>
          <w:lang w:val="zh-CN"/>
        </w:rPr>
        <w:t>3</w:t>
      </w:r>
      <w:r>
        <w:rPr>
          <w:rFonts w:hint="eastAsia" w:ascii="仿宋" w:hAnsi="仿宋" w:eastAsia="仿宋" w:cs="仿宋_GB2312"/>
          <w:sz w:val="32"/>
          <w:szCs w:val="32"/>
          <w:lang w:val="zh-CN"/>
        </w:rPr>
        <w:t>”闭环管理等3个工作经验在全省推广，“</w:t>
      </w:r>
      <w:r>
        <w:rPr>
          <w:rFonts w:ascii="仿宋" w:hAnsi="仿宋" w:eastAsia="仿宋" w:cs="仿宋_GB2312"/>
          <w:sz w:val="32"/>
          <w:szCs w:val="32"/>
          <w:lang w:val="zh-CN"/>
        </w:rPr>
        <w:t>河东食品安全</w:t>
      </w:r>
      <w:r>
        <w:rPr>
          <w:rFonts w:hint="eastAsia" w:ascii="仿宋" w:hAnsi="仿宋" w:eastAsia="仿宋" w:cs="仿宋_GB2312"/>
          <w:sz w:val="32"/>
          <w:szCs w:val="32"/>
          <w:lang w:val="zh-CN"/>
        </w:rPr>
        <w:t>”赢得群众信任和好评；上报药化械不良反应</w:t>
      </w:r>
      <w:r>
        <w:rPr>
          <w:rFonts w:ascii="仿宋" w:hAnsi="仿宋" w:eastAsia="仿宋" w:cs="仿宋_GB2312"/>
          <w:sz w:val="32"/>
          <w:szCs w:val="32"/>
          <w:lang w:val="zh-CN"/>
        </w:rPr>
        <w:t>141</w:t>
      </w:r>
      <w:r>
        <w:rPr>
          <w:rFonts w:hint="eastAsia" w:ascii="仿宋" w:hAnsi="仿宋" w:eastAsia="仿宋" w:cs="仿宋_GB2312"/>
          <w:sz w:val="32"/>
          <w:szCs w:val="32"/>
          <w:lang w:val="zh-CN"/>
        </w:rPr>
        <w:t>例，药物警戒工作排市直园区第一，开展</w:t>
      </w:r>
      <w:r>
        <w:rPr>
          <w:rFonts w:ascii="仿宋" w:hAnsi="仿宋" w:eastAsia="仿宋" w:cs="仿宋_GB2312"/>
          <w:sz w:val="32"/>
          <w:szCs w:val="32"/>
          <w:lang w:val="zh-CN"/>
        </w:rPr>
        <w:t>中药饮片</w:t>
      </w:r>
      <w:r>
        <w:rPr>
          <w:rFonts w:hint="eastAsia" w:ascii="仿宋" w:hAnsi="仿宋" w:eastAsia="仿宋" w:cs="仿宋_GB2312"/>
          <w:sz w:val="32"/>
          <w:szCs w:val="32"/>
          <w:lang w:val="zh-CN"/>
        </w:rPr>
        <w:t>等专项检查11项，完成省市药械监督抽检8</w:t>
      </w:r>
      <w:r>
        <w:rPr>
          <w:rFonts w:ascii="仿宋" w:hAnsi="仿宋" w:eastAsia="仿宋" w:cs="仿宋_GB2312"/>
          <w:sz w:val="32"/>
          <w:szCs w:val="32"/>
          <w:lang w:val="zh-CN"/>
        </w:rPr>
        <w:t>4</w:t>
      </w:r>
      <w:r>
        <w:rPr>
          <w:rFonts w:hint="eastAsia" w:ascii="仿宋" w:hAnsi="仿宋" w:eastAsia="仿宋" w:cs="仿宋_GB2312"/>
          <w:sz w:val="32"/>
          <w:szCs w:val="32"/>
          <w:lang w:val="zh-CN"/>
        </w:rPr>
        <w:t>批次，办理二类医疗器械经营备案事项46家，药品经营行政许可事项42家；成立特种设备安全生产专业委员会，全面推行 “特种设备现场检查APP”，2334台特种设备信息录入率达</w:t>
      </w:r>
      <w:r>
        <w:rPr>
          <w:rFonts w:ascii="仿宋" w:hAnsi="仿宋" w:eastAsia="仿宋" w:cs="仿宋_GB2312"/>
          <w:sz w:val="32"/>
          <w:szCs w:val="32"/>
          <w:lang w:val="zh-CN"/>
        </w:rPr>
        <w:t>88</w:t>
      </w:r>
      <w:r>
        <w:rPr>
          <w:rFonts w:hint="eastAsia" w:ascii="仿宋" w:hAnsi="仿宋" w:eastAsia="仿宋" w:cs="仿宋_GB2312"/>
          <w:sz w:val="32"/>
          <w:szCs w:val="32"/>
          <w:lang w:val="zh-CN"/>
        </w:rPr>
        <w:t>%，整改特种设备安全隐患304个，督促解决东城绿洲、书香美邸等小区“乘梯难”问题受到群众高度认可；倒逼26</w:t>
      </w:r>
      <w:r>
        <w:rPr>
          <w:rFonts w:ascii="仿宋" w:hAnsi="仿宋" w:eastAsia="仿宋" w:cs="仿宋_GB2312"/>
          <w:sz w:val="32"/>
          <w:szCs w:val="32"/>
          <w:lang w:val="zh-CN"/>
        </w:rPr>
        <w:t>1</w:t>
      </w:r>
      <w:r>
        <w:rPr>
          <w:rFonts w:hint="eastAsia" w:ascii="仿宋" w:hAnsi="仿宋" w:eastAsia="仿宋" w:cs="仿宋_GB2312"/>
          <w:sz w:val="32"/>
          <w:szCs w:val="32"/>
          <w:lang w:val="zh-CN"/>
        </w:rPr>
        <w:t>家网络订餐单位规范经营行为；“日巡+夜守”、“5+</w:t>
      </w:r>
      <w:r>
        <w:rPr>
          <w:rFonts w:ascii="仿宋" w:hAnsi="仿宋" w:eastAsia="仿宋" w:cs="仿宋_GB2312"/>
          <w:sz w:val="32"/>
          <w:szCs w:val="32"/>
          <w:lang w:val="zh-CN"/>
        </w:rPr>
        <w:t>2</w:t>
      </w:r>
      <w:r>
        <w:rPr>
          <w:rFonts w:hint="eastAsia" w:ascii="仿宋" w:hAnsi="仿宋" w:eastAsia="仿宋" w:cs="仿宋_GB2312"/>
          <w:sz w:val="32"/>
          <w:szCs w:val="32"/>
          <w:lang w:val="zh-CN"/>
        </w:rPr>
        <w:t>”督促药店、大中型餐饮场所常态防疫，依法立案查处防疫不力单位</w:t>
      </w:r>
      <w:r>
        <w:rPr>
          <w:rFonts w:ascii="仿宋" w:hAnsi="仿宋" w:eastAsia="仿宋" w:cs="仿宋_GB2312"/>
          <w:sz w:val="32"/>
          <w:szCs w:val="32"/>
          <w:lang w:val="zh-CN"/>
        </w:rPr>
        <w:t>12</w:t>
      </w:r>
      <w:r>
        <w:rPr>
          <w:rFonts w:hint="eastAsia" w:ascii="仿宋" w:hAnsi="仿宋" w:eastAsia="仿宋" w:cs="仿宋_GB2312"/>
          <w:sz w:val="32"/>
          <w:szCs w:val="32"/>
          <w:lang w:val="zh-CN"/>
        </w:rPr>
        <w:t>家；</w:t>
      </w:r>
      <w:r>
        <w:rPr>
          <w:rFonts w:hint="eastAsia" w:ascii="仿宋" w:hAnsi="仿宋" w:eastAsia="仿宋" w:cs="仿宋_GB2312"/>
          <w:sz w:val="32"/>
          <w:szCs w:val="32"/>
        </w:rPr>
        <w:t>利用消委会</w:t>
      </w:r>
      <w:r>
        <w:rPr>
          <w:rFonts w:hint="eastAsia" w:ascii="仿宋" w:hAnsi="仿宋" w:eastAsia="仿宋" w:cs="仿宋_GB2312"/>
          <w:sz w:val="32"/>
          <w:szCs w:val="32"/>
          <w:lang w:eastAsia="zh-CN"/>
        </w:rPr>
        <w:t>平台</w:t>
      </w:r>
      <w:r>
        <w:rPr>
          <w:rFonts w:hint="eastAsia" w:ascii="仿宋" w:hAnsi="仿宋" w:eastAsia="仿宋" w:cs="仿宋_GB2312"/>
          <w:sz w:val="32"/>
          <w:szCs w:val="32"/>
        </w:rPr>
        <w:t>调解消费投诉，</w:t>
      </w:r>
      <w:r>
        <w:rPr>
          <w:rFonts w:hint="eastAsia" w:ascii="仿宋" w:hAnsi="仿宋" w:eastAsia="仿宋" w:cs="仿宋_GB2312"/>
          <w:sz w:val="32"/>
          <w:szCs w:val="32"/>
          <w:lang w:eastAsia="zh-CN"/>
        </w:rPr>
        <w:t>化解了群体性消费纠纷</w:t>
      </w:r>
      <w:r>
        <w:rPr>
          <w:rFonts w:hint="eastAsia" w:ascii="仿宋" w:hAnsi="仿宋" w:eastAsia="仿宋" w:cs="仿宋_GB2312"/>
          <w:sz w:val="32"/>
          <w:szCs w:val="32"/>
          <w:lang w:val="en-US" w:eastAsia="zh-CN"/>
        </w:rPr>
        <w:t>51起，</w:t>
      </w:r>
      <w:r>
        <w:rPr>
          <w:rFonts w:hint="eastAsia" w:ascii="仿宋" w:hAnsi="仿宋" w:eastAsia="仿宋" w:cs="仿宋_GB2312"/>
          <w:bCs/>
          <w:sz w:val="32"/>
          <w:szCs w:val="32"/>
        </w:rPr>
        <w:t>获</w:t>
      </w:r>
      <w:r>
        <w:rPr>
          <w:rFonts w:hint="eastAsia" w:ascii="仿宋" w:hAnsi="仿宋" w:eastAsia="仿宋" w:cs="仿宋_GB2312"/>
          <w:sz w:val="32"/>
          <w:szCs w:val="32"/>
        </w:rPr>
        <w:t>赠锦旗4面</w:t>
      </w:r>
      <w:r>
        <w:rPr>
          <w:rFonts w:hint="eastAsia" w:ascii="仿宋" w:hAnsi="仿宋" w:eastAsia="仿宋" w:cs="仿宋_GB2312"/>
          <w:sz w:val="32"/>
          <w:szCs w:val="32"/>
          <w:lang w:eastAsia="zh-CN"/>
        </w:rPr>
        <w:t>，</w:t>
      </w:r>
      <w:r>
        <w:rPr>
          <w:rFonts w:hint="eastAsia" w:ascii="仿宋" w:hAnsi="仿宋" w:eastAsia="仿宋"/>
          <w:sz w:val="32"/>
          <w:szCs w:val="32"/>
        </w:rPr>
        <w:t>实施食药安全重大违法举报奖励</w:t>
      </w:r>
      <w:r>
        <w:rPr>
          <w:rFonts w:hint="eastAsia" w:ascii="仿宋" w:hAnsi="仿宋" w:eastAsia="仿宋"/>
          <w:sz w:val="32"/>
          <w:szCs w:val="32"/>
          <w:lang w:eastAsia="zh-CN"/>
        </w:rPr>
        <w:t>，</w:t>
      </w:r>
      <w:r>
        <w:rPr>
          <w:rFonts w:hint="eastAsia" w:ascii="仿宋" w:hAnsi="仿宋" w:eastAsia="仿宋"/>
          <w:sz w:val="32"/>
          <w:szCs w:val="32"/>
        </w:rPr>
        <w:t>开展宣传活动</w:t>
      </w:r>
      <w:r>
        <w:rPr>
          <w:rFonts w:ascii="仿宋" w:hAnsi="仿宋" w:eastAsia="仿宋"/>
          <w:sz w:val="32"/>
          <w:szCs w:val="32"/>
        </w:rPr>
        <w:t>20</w:t>
      </w:r>
      <w:r>
        <w:rPr>
          <w:rFonts w:hint="eastAsia" w:ascii="仿宋" w:hAnsi="仿宋" w:eastAsia="仿宋"/>
          <w:sz w:val="32"/>
          <w:szCs w:val="32"/>
        </w:rPr>
        <w:t>余场次，发放宣传资料</w:t>
      </w:r>
      <w:r>
        <w:rPr>
          <w:rFonts w:ascii="仿宋" w:hAnsi="仿宋" w:eastAsia="仿宋"/>
          <w:sz w:val="32"/>
          <w:szCs w:val="32"/>
        </w:rPr>
        <w:t>3</w:t>
      </w:r>
      <w:r>
        <w:rPr>
          <w:rFonts w:hint="eastAsia" w:ascii="仿宋" w:hAnsi="仿宋" w:eastAsia="仿宋"/>
          <w:sz w:val="32"/>
          <w:szCs w:val="32"/>
        </w:rPr>
        <w:t>万余份</w:t>
      </w:r>
      <w:r>
        <w:rPr>
          <w:rFonts w:hint="eastAsia" w:ascii="仿宋" w:hAnsi="仿宋" w:eastAsia="仿宋"/>
          <w:sz w:val="32"/>
          <w:szCs w:val="32"/>
          <w:lang w:eastAsia="zh-CN"/>
        </w:rPr>
        <w:t>。</w:t>
      </w:r>
    </w:p>
    <w:p w14:paraId="07E1BBAC">
      <w:pPr>
        <w:pStyle w:val="6"/>
        <w:keepNext/>
        <w:keepLines/>
        <w:pageBreakBefore w:val="0"/>
        <w:widowControl w:val="0"/>
        <w:numPr>
          <w:ilvl w:val="2"/>
          <w:numId w:val="0"/>
        </w:numPr>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cs="Times New Roman"/>
          <w:b/>
          <w:bCs w:val="0"/>
          <w:color w:val="auto"/>
          <w:lang w:val="zh-CN" w:eastAsia="zh-CN"/>
        </w:rPr>
      </w:pPr>
      <w:r>
        <w:rPr>
          <w:rFonts w:hint="eastAsia" w:ascii="Times New Roman" w:hAnsi="Times New Roman" w:cs="Times New Roman"/>
          <w:b/>
          <w:bCs w:val="0"/>
          <w:color w:val="auto"/>
          <w:lang w:val="en-US" w:eastAsia="zh-CN"/>
        </w:rPr>
        <w:t>2.提升服务水平，持续</w:t>
      </w:r>
      <w:r>
        <w:rPr>
          <w:rFonts w:hint="eastAsia" w:ascii="Times New Roman" w:hAnsi="Times New Roman" w:cs="Times New Roman"/>
          <w:b/>
          <w:bCs w:val="0"/>
          <w:color w:val="auto"/>
          <w:lang w:val="zh-CN" w:eastAsia="zh-CN"/>
        </w:rPr>
        <w:t>推进经济发展</w:t>
      </w:r>
    </w:p>
    <w:p w14:paraId="65CD6071">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仿宋_GB2312" w:cs="Times New Roman"/>
          <w:color w:val="auto"/>
          <w:kern w:val="0"/>
          <w:sz w:val="32"/>
          <w:szCs w:val="28"/>
          <w:highlight w:val="none"/>
          <w:lang w:val="en-US" w:eastAsia="zh-CN" w:bidi="ar-SA"/>
        </w:rPr>
      </w:pPr>
      <w:r>
        <w:rPr>
          <w:rFonts w:hint="eastAsia" w:ascii="Times New Roman" w:hAnsi="Times New Roman" w:eastAsia="仿宋_GB2312" w:cs="Times New Roman"/>
          <w:color w:val="auto"/>
          <w:kern w:val="0"/>
          <w:sz w:val="32"/>
          <w:szCs w:val="28"/>
          <w:highlight w:val="none"/>
          <w:lang w:val="en-US" w:eastAsia="zh-CN" w:bidi="ar-SA"/>
        </w:rPr>
        <w:t>巩固完善登记制度改革成果，</w:t>
      </w:r>
      <w:r>
        <w:rPr>
          <w:rFonts w:hint="default" w:ascii="Times New Roman" w:hAnsi="Times New Roman" w:eastAsia="仿宋_GB2312" w:cs="Times New Roman"/>
          <w:color w:val="auto"/>
          <w:kern w:val="0"/>
          <w:sz w:val="32"/>
          <w:szCs w:val="28"/>
          <w:highlight w:val="none"/>
          <w:lang w:val="en-US" w:eastAsia="zh-CN" w:bidi="ar-SA"/>
        </w:rPr>
        <w:t>实现注册登记便利化；全面落实优惠政策，积极服务全民创业</w:t>
      </w:r>
      <w:r>
        <w:rPr>
          <w:rFonts w:hint="eastAsia" w:ascii="Times New Roman" w:hAnsi="Times New Roman" w:eastAsia="仿宋_GB2312" w:cs="Times New Roman"/>
          <w:color w:val="auto"/>
          <w:kern w:val="0"/>
          <w:sz w:val="32"/>
          <w:szCs w:val="28"/>
          <w:highlight w:val="none"/>
          <w:lang w:val="en-US" w:eastAsia="zh-CN" w:bidi="ar-SA"/>
        </w:rPr>
        <w:t>；深化“知识产权强区”，形成部门推动品牌建设的强大合力。</w:t>
      </w:r>
    </w:p>
    <w:p w14:paraId="1A3D24A0">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仿宋_GB2312" w:cs="Times New Roman"/>
          <w:color w:val="auto"/>
          <w:kern w:val="0"/>
          <w:sz w:val="32"/>
          <w:szCs w:val="28"/>
          <w:highlight w:val="none"/>
          <w:lang w:val="en-US" w:eastAsia="zh-CN" w:bidi="ar-SA"/>
        </w:rPr>
      </w:pPr>
      <w:r>
        <w:rPr>
          <w:rFonts w:hint="eastAsia" w:ascii="仿宋" w:hAnsi="仿宋" w:eastAsia="仿宋" w:cs="仿宋_GB2312"/>
          <w:sz w:val="32"/>
          <w:szCs w:val="32"/>
          <w:lang w:val="zh-CN"/>
        </w:rPr>
        <w:t>设知识产权维权援助工作站2个，新增发明专利40件，争取</w:t>
      </w:r>
      <w:r>
        <w:rPr>
          <w:rFonts w:ascii="仿宋" w:hAnsi="仿宋" w:eastAsia="仿宋" w:cs="仿宋_GB2312"/>
          <w:sz w:val="32"/>
          <w:szCs w:val="32"/>
          <w:lang w:val="zh-CN"/>
        </w:rPr>
        <w:t>知识产权质押融资</w:t>
      </w:r>
      <w:r>
        <w:rPr>
          <w:rFonts w:hint="eastAsia" w:ascii="仿宋" w:hAnsi="仿宋" w:eastAsia="仿宋" w:cs="仿宋_GB2312"/>
          <w:sz w:val="32"/>
          <w:szCs w:val="32"/>
          <w:lang w:val="zh-CN"/>
        </w:rPr>
        <w:t>资金120万元，完成项目入库2100万元；推动12345政府服务热线标准化试点建设通过省级验收，14家企业对标国家标准发布对标达标信息14条；邀请专家讲授食药安全、餐饮服务礼仪知识7场次，提前介入5家机关事业单位大型食堂规范化建设。</w:t>
      </w:r>
    </w:p>
    <w:p w14:paraId="6B90603E">
      <w:pPr>
        <w:pStyle w:val="6"/>
        <w:keepNext/>
        <w:keepLines/>
        <w:pageBreakBefore w:val="0"/>
        <w:widowControl w:val="0"/>
        <w:numPr>
          <w:ilvl w:val="2"/>
          <w:numId w:val="0"/>
        </w:numPr>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cs="Times New Roman"/>
          <w:b/>
          <w:bCs w:val="0"/>
          <w:color w:val="auto"/>
          <w:lang w:val="zh-CN" w:eastAsia="zh-CN"/>
        </w:rPr>
      </w:pPr>
      <w:r>
        <w:rPr>
          <w:rFonts w:hint="eastAsia" w:ascii="Times New Roman" w:hAnsi="Times New Roman" w:cs="Times New Roman"/>
          <w:b/>
          <w:bCs w:val="0"/>
          <w:color w:val="auto"/>
          <w:lang w:val="en-US" w:eastAsia="zh-CN"/>
        </w:rPr>
        <w:t>3.强化惠民意识，持续</w:t>
      </w:r>
      <w:r>
        <w:rPr>
          <w:rFonts w:hint="eastAsia" w:ascii="Times New Roman" w:hAnsi="Times New Roman" w:cs="Times New Roman"/>
          <w:b/>
          <w:bCs w:val="0"/>
          <w:color w:val="auto"/>
          <w:lang w:val="zh-CN" w:eastAsia="zh-CN"/>
        </w:rPr>
        <w:t>规范市场秩序</w:t>
      </w:r>
    </w:p>
    <w:p w14:paraId="142E626F">
      <w:pPr>
        <w:pStyle w:val="4"/>
        <w:pageBreakBefore w:val="0"/>
        <w:kinsoku/>
        <w:wordWrap/>
        <w:overflowPunct/>
        <w:topLinePunct w:val="0"/>
        <w:autoSpaceDE/>
        <w:autoSpaceDN/>
        <w:bidi w:val="0"/>
        <w:spacing w:line="560" w:lineRule="exact"/>
        <w:ind w:firstLine="640" w:firstLineChars="200"/>
        <w:textAlignment w:val="auto"/>
        <w:rPr>
          <w:rFonts w:hint="eastAsia" w:ascii="Times New Roman" w:hAnsi="Times New Roman" w:cs="Times New Roman"/>
          <w:color w:val="auto"/>
          <w:szCs w:val="32"/>
          <w:lang w:val="en-US" w:eastAsia="zh-CN"/>
        </w:rPr>
      </w:pPr>
      <w:r>
        <w:rPr>
          <w:rFonts w:hint="eastAsia" w:ascii="Times New Roman" w:hAnsi="Times New Roman" w:cs="Times New Roman"/>
          <w:color w:val="auto"/>
          <w:szCs w:val="32"/>
          <w:lang w:val="en-US" w:eastAsia="zh-CN"/>
        </w:rPr>
        <w:t>加大民生领域反垄断执法力度，加大重要民生商品价格监管力度；</w:t>
      </w:r>
      <w:r>
        <w:rPr>
          <w:rFonts w:hint="eastAsia" w:ascii="Times New Roman" w:hAnsi="Times New Roman" w:cs="Times New Roman"/>
          <w:color w:val="auto"/>
          <w:szCs w:val="32"/>
          <w:lang w:val="zh-CN" w:eastAsia="zh-CN"/>
        </w:rPr>
        <w:t>深化</w:t>
      </w:r>
      <w:r>
        <w:rPr>
          <w:rFonts w:hint="eastAsia" w:ascii="Times New Roman" w:hAnsi="Times New Roman" w:cs="Times New Roman"/>
          <w:color w:val="auto"/>
          <w:szCs w:val="32"/>
          <w:lang w:val="en-US" w:eastAsia="zh-CN"/>
        </w:rPr>
        <w:t>“放心舒心消费城市”创建，以点带片全面发展，打造全市放心舒心消费名片。</w:t>
      </w:r>
    </w:p>
    <w:p w14:paraId="7F29A0E6">
      <w:pPr>
        <w:pageBreakBefore w:val="0"/>
        <w:wordWrap/>
        <w:overflowPunct/>
        <w:topLinePunct w:val="0"/>
        <w:bidi w:val="0"/>
        <w:spacing w:line="560" w:lineRule="exact"/>
        <w:ind w:firstLine="640" w:firstLineChars="200"/>
        <w:rPr>
          <w:rFonts w:hint="eastAsia" w:ascii="Times New Roman" w:hAnsi="Times New Roman" w:eastAsia="仿宋" w:cs="Times New Roman"/>
          <w:color w:val="auto"/>
          <w:szCs w:val="32"/>
          <w:lang w:val="en-US" w:eastAsia="zh-CN"/>
        </w:rPr>
      </w:pPr>
      <w:r>
        <w:rPr>
          <w:rFonts w:ascii="仿宋" w:hAnsi="仿宋" w:eastAsia="仿宋"/>
          <w:sz w:val="32"/>
          <w:szCs w:val="32"/>
        </w:rPr>
        <w:t>“</w:t>
      </w:r>
      <w:r>
        <w:rPr>
          <w:rFonts w:hint="eastAsia" w:ascii="仿宋" w:hAnsi="仿宋" w:eastAsia="仿宋"/>
          <w:sz w:val="32"/>
          <w:szCs w:val="32"/>
        </w:rPr>
        <w:t>春雷行动2021</w:t>
      </w:r>
      <w:r>
        <w:rPr>
          <w:rFonts w:ascii="仿宋" w:hAnsi="仿宋" w:eastAsia="仿宋"/>
          <w:sz w:val="32"/>
          <w:szCs w:val="32"/>
        </w:rPr>
        <w:t>”、“</w:t>
      </w:r>
      <w:r>
        <w:rPr>
          <w:rFonts w:hint="eastAsia" w:ascii="仿宋" w:hAnsi="仿宋" w:eastAsia="仿宋"/>
          <w:sz w:val="32"/>
          <w:szCs w:val="32"/>
        </w:rPr>
        <w:t>铁拳行动</w:t>
      </w:r>
      <w:r>
        <w:rPr>
          <w:rFonts w:ascii="仿宋" w:hAnsi="仿宋" w:eastAsia="仿宋"/>
          <w:sz w:val="32"/>
          <w:szCs w:val="32"/>
        </w:rPr>
        <w:t>”等</w:t>
      </w:r>
      <w:r>
        <w:rPr>
          <w:rFonts w:hint="eastAsia" w:ascii="仿宋" w:hAnsi="仿宋" w:eastAsia="仿宋"/>
          <w:sz w:val="32"/>
          <w:szCs w:val="32"/>
        </w:rPr>
        <w:t>利剑出鞘，查办案件161件、罚没款44.73万元，移送案源线索11件，春雷行动</w:t>
      </w:r>
      <w:r>
        <w:rPr>
          <w:rFonts w:ascii="仿宋" w:hAnsi="仿宋" w:eastAsia="仿宋"/>
          <w:sz w:val="32"/>
          <w:szCs w:val="32"/>
        </w:rPr>
        <w:t>办案数</w:t>
      </w:r>
      <w:r>
        <w:rPr>
          <w:rFonts w:hint="eastAsia" w:ascii="仿宋" w:hAnsi="仿宋" w:eastAsia="仿宋"/>
          <w:sz w:val="32"/>
          <w:szCs w:val="32"/>
        </w:rPr>
        <w:t>实现辖区首次破百、长江禁捕案被评为全市典型案例、“疫情防控用药械质量安全执法行动”案件查办率居全市前列</w:t>
      </w:r>
      <w:r>
        <w:rPr>
          <w:rFonts w:hint="eastAsia" w:ascii="仿宋" w:hAnsi="仿宋" w:eastAsia="仿宋"/>
          <w:sz w:val="32"/>
          <w:szCs w:val="32"/>
          <w:lang w:eastAsia="zh-CN"/>
        </w:rPr>
        <w:t>；通过生态环保、“长江禁捕打非断链”、“双打”、农村假冒伪劣商品、房地产广告等重点专项执法，检查各类市场主体2300余家次，办理大案要案15件；</w:t>
      </w:r>
      <w:r>
        <w:rPr>
          <w:rFonts w:hint="eastAsia" w:ascii="仿宋" w:hAnsi="仿宋" w:eastAsia="仿宋" w:cs="仿宋_GB2312"/>
          <w:sz w:val="32"/>
          <w:szCs w:val="32"/>
          <w:lang w:val="zh-CN"/>
        </w:rPr>
        <w:t>通过“一日办结”</w:t>
      </w:r>
      <w:r>
        <w:rPr>
          <w:rFonts w:hint="eastAsia" w:ascii="仿宋" w:hAnsi="仿宋" w:eastAsia="仿宋" w:cs="仿宋_GB2312"/>
          <w:szCs w:val="32"/>
          <w:lang w:val="zh-CN"/>
        </w:rPr>
        <w:t>、</w:t>
      </w:r>
      <w:r>
        <w:rPr>
          <w:rFonts w:hint="eastAsia" w:ascii="仿宋" w:hAnsi="仿宋" w:eastAsia="仿宋" w:cs="仿宋_GB2312"/>
          <w:sz w:val="32"/>
          <w:szCs w:val="32"/>
          <w:lang w:val="zh-CN"/>
        </w:rPr>
        <w:t>“一网通办”、“证照分离”，新增市场主体</w:t>
      </w:r>
      <w:r>
        <w:rPr>
          <w:rFonts w:ascii="仿宋" w:hAnsi="仿宋" w:eastAsia="仿宋" w:cs="仿宋_GB2312"/>
          <w:sz w:val="32"/>
          <w:szCs w:val="32"/>
          <w:lang w:val="zh-CN"/>
        </w:rPr>
        <w:t>2</w:t>
      </w:r>
      <w:r>
        <w:rPr>
          <w:rFonts w:hint="eastAsia" w:ascii="仿宋" w:hAnsi="仿宋" w:eastAsia="仿宋" w:cs="仿宋_GB2312"/>
          <w:sz w:val="32"/>
          <w:szCs w:val="32"/>
          <w:lang w:val="en-US" w:eastAsia="zh-CN"/>
        </w:rPr>
        <w:t>570</w:t>
      </w:r>
      <w:r>
        <w:rPr>
          <w:rFonts w:hint="eastAsia" w:ascii="仿宋" w:hAnsi="仿宋" w:eastAsia="仿宋" w:cs="仿宋_GB2312"/>
          <w:sz w:val="32"/>
          <w:szCs w:val="32"/>
          <w:lang w:val="zh-CN"/>
        </w:rPr>
        <w:t>户，同比增长</w:t>
      </w:r>
      <w:r>
        <w:rPr>
          <w:rFonts w:hint="eastAsia" w:ascii="仿宋" w:hAnsi="仿宋" w:eastAsia="仿宋" w:cs="仿宋_GB2312"/>
          <w:sz w:val="32"/>
          <w:szCs w:val="32"/>
          <w:lang w:val="en-US" w:eastAsia="zh-CN"/>
        </w:rPr>
        <w:t>29.66</w:t>
      </w:r>
      <w:r>
        <w:rPr>
          <w:rFonts w:hint="eastAsia" w:ascii="仿宋" w:hAnsi="仿宋" w:eastAsia="仿宋" w:cs="仿宋_GB2312"/>
          <w:sz w:val="32"/>
          <w:szCs w:val="32"/>
          <w:lang w:val="zh-CN"/>
        </w:rPr>
        <w:t>%，总量达到</w:t>
      </w:r>
      <w:r>
        <w:rPr>
          <w:rFonts w:hint="eastAsia" w:ascii="仿宋" w:hAnsi="仿宋" w:eastAsia="仿宋" w:cs="仿宋_GB2312"/>
          <w:sz w:val="32"/>
          <w:szCs w:val="32"/>
          <w:lang w:val="en-US" w:eastAsia="zh-CN"/>
        </w:rPr>
        <w:t>11236户；</w:t>
      </w:r>
      <w:r>
        <w:rPr>
          <w:rFonts w:hint="eastAsia" w:ascii="仿宋" w:hAnsi="仿宋" w:eastAsia="仿宋" w:cs="仿宋_GB2312"/>
          <w:sz w:val="32"/>
          <w:szCs w:val="32"/>
          <w:lang w:val="zh-CN"/>
        </w:rPr>
        <w:t>成功调解投诉1753件，成功率98%，挽回经济损失约7.23万元，推行“互联网+消费维权”，推介3家</w:t>
      </w:r>
      <w:r>
        <w:rPr>
          <w:rFonts w:ascii="仿宋" w:hAnsi="仿宋" w:eastAsia="仿宋" w:cs="仿宋_GB2312"/>
          <w:sz w:val="32"/>
          <w:szCs w:val="32"/>
          <w:lang w:val="zh-CN"/>
        </w:rPr>
        <w:t>重点企业引入ODR</w:t>
      </w:r>
      <w:r>
        <w:rPr>
          <w:rFonts w:hint="eastAsia" w:ascii="仿宋" w:hAnsi="仿宋" w:eastAsia="仿宋" w:cs="仿宋_GB2312"/>
          <w:sz w:val="32"/>
          <w:szCs w:val="32"/>
          <w:lang w:val="zh-CN"/>
        </w:rPr>
        <w:t>与消费者线上</w:t>
      </w:r>
      <w:r>
        <w:rPr>
          <w:rFonts w:ascii="仿宋" w:hAnsi="仿宋" w:eastAsia="仿宋" w:cs="仿宋_GB2312"/>
          <w:sz w:val="32"/>
          <w:szCs w:val="32"/>
          <w:lang w:val="zh-CN"/>
        </w:rPr>
        <w:t>协商解决纠纷</w:t>
      </w:r>
      <w:r>
        <w:rPr>
          <w:rFonts w:hint="eastAsia" w:ascii="仿宋" w:hAnsi="仿宋" w:eastAsia="仿宋" w:cs="仿宋_GB2312"/>
          <w:sz w:val="32"/>
          <w:szCs w:val="32"/>
          <w:lang w:val="zh-CN"/>
        </w:rPr>
        <w:t>，举办诚信经营誓师大会、实施“万达金街餐饮服务放心舒心消费示范街”创建，助力打造“观音湖省级旅游度假区”；企业、农民专业合作社、个体工商户年报率均居全市第一；市场监管“双随机、一公开”抽查对象</w:t>
      </w:r>
      <w:r>
        <w:rPr>
          <w:rFonts w:ascii="仿宋" w:hAnsi="仿宋" w:eastAsia="仿宋" w:cs="仿宋_GB2312"/>
          <w:sz w:val="32"/>
          <w:szCs w:val="32"/>
          <w:lang w:val="zh-CN"/>
        </w:rPr>
        <w:t>79</w:t>
      </w:r>
      <w:r>
        <w:rPr>
          <w:rFonts w:hint="eastAsia" w:ascii="仿宋" w:hAnsi="仿宋" w:eastAsia="仿宋" w:cs="仿宋_GB2312"/>
          <w:sz w:val="32"/>
          <w:szCs w:val="32"/>
          <w:lang w:val="zh-CN"/>
        </w:rPr>
        <w:t>户次，检查完成率和对外公示率均达100%；部门联合“双随机、一公开”监管通过“进一次门、查多项事”，执法检查次数同比减少1/</w:t>
      </w:r>
      <w:r>
        <w:rPr>
          <w:rFonts w:ascii="仿宋" w:hAnsi="仿宋" w:eastAsia="仿宋" w:cs="仿宋_GB2312"/>
          <w:sz w:val="32"/>
          <w:szCs w:val="32"/>
          <w:lang w:val="zh-CN"/>
        </w:rPr>
        <w:t>3</w:t>
      </w:r>
      <w:r>
        <w:rPr>
          <w:rFonts w:hint="eastAsia" w:ascii="仿宋" w:hAnsi="仿宋" w:eastAsia="仿宋" w:cs="仿宋_GB2312"/>
          <w:sz w:val="32"/>
          <w:szCs w:val="32"/>
          <w:lang w:val="zh-CN"/>
        </w:rPr>
        <w:t>；加强信用信息归集，通过市社会信用信息管理系统新增信用数据</w:t>
      </w:r>
      <w:r>
        <w:rPr>
          <w:rFonts w:ascii="仿宋" w:hAnsi="仿宋" w:eastAsia="仿宋" w:cs="仿宋_GB2312"/>
          <w:sz w:val="32"/>
          <w:szCs w:val="32"/>
          <w:lang w:val="zh-CN"/>
        </w:rPr>
        <w:t>1088</w:t>
      </w:r>
      <w:r>
        <w:rPr>
          <w:rFonts w:hint="eastAsia" w:ascii="仿宋" w:hAnsi="仿宋" w:eastAsia="仿宋" w:cs="仿宋_GB2312"/>
          <w:sz w:val="32"/>
          <w:szCs w:val="32"/>
          <w:lang w:val="zh-CN"/>
        </w:rPr>
        <w:t>条。</w:t>
      </w:r>
      <w:r>
        <w:rPr>
          <w:rFonts w:ascii="Times New Roman" w:hAnsi="Times New Roman" w:eastAsia="仿宋_GB2312"/>
          <w:sz w:val="32"/>
          <w:szCs w:val="32"/>
        </w:rPr>
        <w:t xml:space="preserve"> </w:t>
      </w:r>
    </w:p>
    <w:p w14:paraId="0C77F651">
      <w:pPr>
        <w:pStyle w:val="6"/>
        <w:keepNext/>
        <w:keepLines/>
        <w:pageBreakBefore w:val="0"/>
        <w:widowControl w:val="0"/>
        <w:numPr>
          <w:ilvl w:val="2"/>
          <w:numId w:val="0"/>
        </w:numPr>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cs="Times New Roman"/>
          <w:b/>
          <w:bCs w:val="0"/>
          <w:color w:val="auto"/>
          <w:lang w:val="en-US" w:eastAsia="zh-CN"/>
        </w:rPr>
      </w:pPr>
      <w:r>
        <w:rPr>
          <w:rFonts w:hint="eastAsia" w:ascii="Times New Roman" w:hAnsi="Times New Roman" w:cs="Times New Roman"/>
          <w:b/>
          <w:bCs w:val="0"/>
          <w:color w:val="auto"/>
          <w:lang w:val="en-US" w:eastAsia="zh-CN"/>
        </w:rPr>
        <w:t>4.聚焦党建赋能，开展党建工作</w:t>
      </w:r>
    </w:p>
    <w:p w14:paraId="34D6FB02">
      <w:pPr>
        <w:pStyle w:val="3"/>
        <w:pageBreakBefore w:val="0"/>
        <w:widowControl w:val="0"/>
        <w:numPr>
          <w:ilvl w:val="0"/>
          <w:numId w:val="0"/>
        </w:numPr>
        <w:kinsoku/>
        <w:wordWrap/>
        <w:overflowPunct/>
        <w:topLinePunct w:val="0"/>
        <w:autoSpaceDE/>
        <w:autoSpaceDN/>
        <w:bidi w:val="0"/>
        <w:spacing w:line="56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bCs/>
          <w:sz w:val="32"/>
          <w:szCs w:val="32"/>
        </w:rPr>
        <w:t>定格、定人、定责监管服务市场主体</w:t>
      </w:r>
      <w:r>
        <w:rPr>
          <w:rFonts w:hint="eastAsia" w:ascii="仿宋" w:hAnsi="仿宋" w:eastAsia="仿宋" w:cs="仿宋_GB2312"/>
          <w:bCs/>
          <w:sz w:val="32"/>
          <w:szCs w:val="32"/>
          <w:lang w:eastAsia="zh-CN"/>
        </w:rPr>
        <w:t>，</w:t>
      </w:r>
      <w:r>
        <w:rPr>
          <w:rFonts w:hint="eastAsia" w:ascii="仿宋" w:hAnsi="仿宋" w:eastAsia="仿宋" w:cs="仿宋_GB2312"/>
          <w:sz w:val="32"/>
          <w:szCs w:val="32"/>
        </w:rPr>
        <w:t>组建50岁以上老同志专项工作督导组</w:t>
      </w:r>
      <w:r>
        <w:rPr>
          <w:rFonts w:hint="eastAsia" w:ascii="仿宋" w:hAnsi="仿宋" w:eastAsia="仿宋" w:cs="仿宋_GB2312"/>
          <w:sz w:val="32"/>
          <w:szCs w:val="32"/>
          <w:lang w:eastAsia="zh-CN"/>
        </w:rPr>
        <w:t>，</w:t>
      </w:r>
      <w:r>
        <w:rPr>
          <w:rFonts w:hint="eastAsia" w:ascii="仿宋" w:hAnsi="仿宋" w:eastAsia="仿宋" w:cs="仿宋_GB2312"/>
          <w:sz w:val="32"/>
          <w:szCs w:val="32"/>
        </w:rPr>
        <w:t>市场监管</w:t>
      </w:r>
      <w:r>
        <w:rPr>
          <w:rFonts w:hint="eastAsia" w:ascii="仿宋" w:hAnsi="仿宋" w:eastAsia="仿宋" w:cstheme="minorBidi"/>
          <w:sz w:val="32"/>
          <w:szCs w:val="32"/>
        </w:rPr>
        <w:t>军事化基础训练3次</w:t>
      </w:r>
      <w:r>
        <w:rPr>
          <w:rFonts w:hint="eastAsia" w:ascii="仿宋" w:hAnsi="仿宋" w:eastAsia="仿宋" w:cs="仿宋_GB2312"/>
          <w:sz w:val="32"/>
          <w:szCs w:val="32"/>
        </w:rPr>
        <w:t>，推选提拔交流干部</w:t>
      </w:r>
      <w:r>
        <w:rPr>
          <w:rFonts w:ascii="仿宋" w:hAnsi="仿宋" w:eastAsia="仿宋" w:cs="仿宋_GB2312"/>
          <w:sz w:val="32"/>
          <w:szCs w:val="32"/>
        </w:rPr>
        <w:t>22</w:t>
      </w:r>
      <w:r>
        <w:rPr>
          <w:rFonts w:hint="eastAsia" w:ascii="仿宋" w:hAnsi="仿宋" w:eastAsia="仿宋" w:cs="仿宋_GB2312"/>
          <w:sz w:val="32"/>
          <w:szCs w:val="32"/>
        </w:rPr>
        <w:t>名，凝聚共识基础上收集工作建议3条</w:t>
      </w:r>
      <w:r>
        <w:rPr>
          <w:rFonts w:hint="eastAsia" w:ascii="仿宋" w:hAnsi="仿宋" w:eastAsia="仿宋" w:cs="仿宋_GB2312"/>
          <w:sz w:val="32"/>
          <w:szCs w:val="32"/>
          <w:lang w:eastAsia="zh-CN"/>
        </w:rPr>
        <w:t>；</w:t>
      </w:r>
      <w:r>
        <w:rPr>
          <w:rFonts w:hint="eastAsia" w:ascii="仿宋" w:hAnsi="仿宋" w:eastAsia="仿宋" w:cs="仿宋_GB2312"/>
          <w:sz w:val="32"/>
          <w:szCs w:val="32"/>
        </w:rPr>
        <w:t>组织主题党日活动1</w:t>
      </w:r>
      <w:r>
        <w:rPr>
          <w:rFonts w:ascii="仿宋" w:hAnsi="仿宋" w:eastAsia="仿宋" w:cs="仿宋_GB2312"/>
          <w:sz w:val="32"/>
          <w:szCs w:val="32"/>
        </w:rPr>
        <w:t>5</w:t>
      </w:r>
      <w:r>
        <w:rPr>
          <w:rFonts w:hint="eastAsia" w:ascii="仿宋" w:hAnsi="仿宋" w:eastAsia="仿宋" w:cs="仿宋_GB2312"/>
          <w:sz w:val="32"/>
          <w:szCs w:val="32"/>
        </w:rPr>
        <w:t>次、理论学习</w:t>
      </w:r>
      <w:r>
        <w:rPr>
          <w:rFonts w:ascii="仿宋" w:hAnsi="仿宋" w:eastAsia="仿宋" w:cs="仿宋_GB2312"/>
          <w:sz w:val="32"/>
          <w:szCs w:val="32"/>
        </w:rPr>
        <w:t>10</w:t>
      </w:r>
      <w:r>
        <w:rPr>
          <w:rFonts w:hint="eastAsia" w:ascii="仿宋" w:hAnsi="仿宋" w:eastAsia="仿宋" w:cs="仿宋_GB2312"/>
          <w:sz w:val="32"/>
          <w:szCs w:val="32"/>
        </w:rPr>
        <w:t>次、讲党课</w:t>
      </w:r>
      <w:r>
        <w:rPr>
          <w:rFonts w:hint="eastAsia" w:ascii="仿宋" w:hAnsi="仿宋" w:eastAsia="仿宋" w:cs="仿宋_GB2312"/>
          <w:sz w:val="32"/>
          <w:szCs w:val="32"/>
          <w:lang w:val="en-US" w:eastAsia="zh-CN"/>
        </w:rPr>
        <w:t xml:space="preserve"> </w:t>
      </w:r>
      <w:r>
        <w:rPr>
          <w:rFonts w:ascii="仿宋" w:hAnsi="仿宋" w:eastAsia="仿宋" w:cs="仿宋_GB2312"/>
          <w:sz w:val="32"/>
          <w:szCs w:val="32"/>
        </w:rPr>
        <w:t>6</w:t>
      </w:r>
      <w:r>
        <w:rPr>
          <w:rFonts w:hint="eastAsia" w:ascii="仿宋" w:hAnsi="仿宋" w:eastAsia="仿宋" w:cs="仿宋_GB2312"/>
          <w:sz w:val="32"/>
          <w:szCs w:val="32"/>
        </w:rPr>
        <w:t>场，新区党史学习教育知识竞赛获</w:t>
      </w:r>
      <w:r>
        <w:rPr>
          <w:rFonts w:hint="eastAsia" w:ascii="仿宋" w:hAnsi="仿宋" w:eastAsia="仿宋" w:cs="仿宋_GB2312"/>
          <w:sz w:val="32"/>
          <w:szCs w:val="32"/>
          <w:lang w:eastAsia="zh-CN"/>
        </w:rPr>
        <w:t>三</w:t>
      </w:r>
      <w:r>
        <w:rPr>
          <w:rFonts w:hint="eastAsia" w:ascii="仿宋" w:hAnsi="仿宋" w:eastAsia="仿宋" w:cs="仿宋_GB2312"/>
          <w:sz w:val="32"/>
          <w:szCs w:val="32"/>
        </w:rPr>
        <w:t>等奖，到1</w:t>
      </w:r>
      <w:r>
        <w:rPr>
          <w:rFonts w:ascii="仿宋" w:hAnsi="仿宋" w:eastAsia="仿宋" w:cs="仿宋_GB2312"/>
          <w:sz w:val="32"/>
          <w:szCs w:val="32"/>
        </w:rPr>
        <w:t>9</w:t>
      </w:r>
      <w:r>
        <w:rPr>
          <w:rFonts w:hint="eastAsia" w:ascii="仿宋" w:hAnsi="仿宋" w:eastAsia="仿宋" w:cs="仿宋_GB2312"/>
          <w:sz w:val="32"/>
          <w:szCs w:val="32"/>
        </w:rPr>
        <w:t>个非公企业党支部“赠书送学”2</w:t>
      </w:r>
      <w:r>
        <w:rPr>
          <w:rFonts w:ascii="仿宋" w:hAnsi="仿宋" w:eastAsia="仿宋" w:cs="仿宋_GB2312"/>
          <w:sz w:val="32"/>
          <w:szCs w:val="32"/>
        </w:rPr>
        <w:t>00</w:t>
      </w:r>
      <w:r>
        <w:rPr>
          <w:rFonts w:hint="eastAsia" w:ascii="仿宋" w:hAnsi="仿宋" w:eastAsia="仿宋" w:cs="仿宋_GB2312"/>
          <w:sz w:val="32"/>
          <w:szCs w:val="32"/>
        </w:rPr>
        <w:t>册、“开门问计”1</w:t>
      </w:r>
      <w:r>
        <w:rPr>
          <w:rFonts w:ascii="仿宋" w:hAnsi="仿宋" w:eastAsia="仿宋" w:cs="仿宋_GB2312"/>
          <w:sz w:val="32"/>
          <w:szCs w:val="32"/>
        </w:rPr>
        <w:t>1</w:t>
      </w:r>
      <w:r>
        <w:rPr>
          <w:rFonts w:hint="eastAsia" w:ascii="仿宋" w:hAnsi="仿宋" w:eastAsia="仿宋" w:cs="仿宋_GB2312"/>
          <w:sz w:val="32"/>
          <w:szCs w:val="32"/>
        </w:rPr>
        <w:t>条，打造非公企业专业市场1个</w:t>
      </w:r>
      <w:r>
        <w:rPr>
          <w:rFonts w:hint="eastAsia" w:ascii="仿宋" w:hAnsi="仿宋" w:eastAsia="仿宋" w:cs="仿宋_GB2312"/>
          <w:sz w:val="32"/>
          <w:szCs w:val="32"/>
          <w:lang w:eastAsia="zh-CN"/>
        </w:rPr>
        <w:t>，</w:t>
      </w:r>
      <w:r>
        <w:rPr>
          <w:rFonts w:hint="eastAsia" w:ascii="仿宋" w:hAnsi="仿宋" w:eastAsia="仿宋" w:cs="仿宋_GB2312"/>
          <w:sz w:val="32"/>
          <w:szCs w:val="32"/>
        </w:rPr>
        <w:t>发展入党积极分子3名</w:t>
      </w:r>
      <w:r>
        <w:rPr>
          <w:rFonts w:hint="eastAsia" w:ascii="仿宋" w:hAnsi="仿宋" w:eastAsia="仿宋" w:cs="仿宋_GB2312"/>
          <w:sz w:val="32"/>
          <w:szCs w:val="32"/>
          <w:lang w:eastAsia="zh-CN"/>
        </w:rPr>
        <w:t>；</w:t>
      </w:r>
      <w:r>
        <w:rPr>
          <w:rFonts w:hint="eastAsia" w:ascii="仿宋" w:hAnsi="仿宋" w:eastAsia="仿宋" w:cs="仿宋_GB2312"/>
          <w:sz w:val="32"/>
          <w:szCs w:val="32"/>
        </w:rPr>
        <w:t>完善主要领导和班子其他成员党风廉政建设两张责任清单</w:t>
      </w:r>
      <w:r>
        <w:rPr>
          <w:rFonts w:hint="eastAsia" w:ascii="仿宋" w:hAnsi="仿宋" w:eastAsia="仿宋" w:cs="仿宋_GB2312"/>
          <w:sz w:val="32"/>
          <w:szCs w:val="32"/>
          <w:lang w:eastAsia="zh-CN"/>
        </w:rPr>
        <w:t>，</w:t>
      </w:r>
      <w:r>
        <w:rPr>
          <w:rFonts w:hint="eastAsia" w:ascii="仿宋" w:hAnsi="仿宋" w:eastAsia="仿宋" w:cs="仿宋_GB2312"/>
          <w:sz w:val="32"/>
          <w:szCs w:val="32"/>
        </w:rPr>
        <w:t>“排整提”专项行动排查并整改问题6个。</w:t>
      </w:r>
    </w:p>
    <w:p w14:paraId="266B5621">
      <w:pPr>
        <w:pStyle w:val="3"/>
        <w:pageBreakBefore w:val="0"/>
        <w:widowControl w:val="0"/>
        <w:numPr>
          <w:ilvl w:val="0"/>
          <w:numId w:val="0"/>
        </w:numPr>
        <w:kinsoku/>
        <w:wordWrap/>
        <w:overflowPunct/>
        <w:topLinePunct w:val="0"/>
        <w:autoSpaceDE/>
        <w:autoSpaceDN/>
        <w:bidi w:val="0"/>
        <w:spacing w:line="560" w:lineRule="exact"/>
        <w:ind w:firstLine="640" w:firstLineChars="200"/>
        <w:textAlignment w:val="auto"/>
        <w:rPr>
          <w:rFonts w:hint="default" w:eastAsia="黑体"/>
          <w:color w:val="auto"/>
          <w:lang w:val="en-US" w:eastAsia="zh-CN"/>
        </w:rPr>
      </w:pPr>
      <w:r>
        <w:rPr>
          <w:rFonts w:hint="eastAsia"/>
          <w:color w:val="auto"/>
          <w:lang w:val="en-US" w:eastAsia="zh-CN"/>
        </w:rPr>
        <w:t>六、</w:t>
      </w:r>
      <w:r>
        <w:rPr>
          <w:rFonts w:hint="eastAsia"/>
          <w:color w:val="auto"/>
        </w:rPr>
        <w:t>评价结论</w:t>
      </w:r>
      <w:r>
        <w:rPr>
          <w:rFonts w:hint="eastAsia"/>
          <w:color w:val="auto"/>
          <w:lang w:val="en-US" w:eastAsia="zh-CN"/>
        </w:rPr>
        <w:t>及绩效分析</w:t>
      </w:r>
    </w:p>
    <w:p w14:paraId="51927603">
      <w:pPr>
        <w:pStyle w:val="5"/>
        <w:pageBreakBefore w:val="0"/>
        <w:widowControl w:val="0"/>
        <w:numPr>
          <w:ilvl w:val="1"/>
          <w:numId w:val="0"/>
        </w:numPr>
        <w:kinsoku/>
        <w:wordWrap/>
        <w:overflowPunct/>
        <w:topLinePunct w:val="0"/>
        <w:autoSpaceDE/>
        <w:autoSpaceDN/>
        <w:bidi w:val="0"/>
        <w:spacing w:line="560" w:lineRule="exact"/>
        <w:ind w:leftChars="0" w:firstLine="643" w:firstLineChars="200"/>
        <w:textAlignment w:val="auto"/>
        <w:rPr>
          <w:rFonts w:hint="default" w:eastAsia="仿宋_GB2312"/>
          <w:color w:val="auto"/>
          <w:lang w:val="en-US" w:eastAsia="zh-CN"/>
        </w:rPr>
      </w:pPr>
      <w:r>
        <w:rPr>
          <w:rFonts w:hint="eastAsia"/>
          <w:color w:val="auto"/>
          <w:lang w:eastAsia="zh-CN"/>
        </w:rPr>
        <w:t>（</w:t>
      </w:r>
      <w:r>
        <w:rPr>
          <w:rFonts w:hint="eastAsia"/>
          <w:color w:val="auto"/>
          <w:lang w:val="en-US" w:eastAsia="zh-CN"/>
        </w:rPr>
        <w:t>一）</w:t>
      </w:r>
      <w:r>
        <w:rPr>
          <w:rFonts w:hint="eastAsia"/>
          <w:color w:val="auto"/>
        </w:rPr>
        <w:t>评价结论</w:t>
      </w:r>
    </w:p>
    <w:p w14:paraId="7FE0F428">
      <w:pPr>
        <w:pStyle w:val="7"/>
        <w:pageBreakBefore w:val="0"/>
        <w:kinsoku/>
        <w:wordWrap/>
        <w:overflowPunct/>
        <w:topLinePunct w:val="0"/>
        <w:autoSpaceDE/>
        <w:autoSpaceDN/>
        <w:bidi w:val="0"/>
        <w:spacing w:line="560" w:lineRule="exact"/>
        <w:ind w:firstLine="640" w:firstLineChars="200"/>
        <w:rPr>
          <w:rFonts w:hint="eastAsia" w:ascii="Times New Roman" w:hAnsi="Times New Roman" w:eastAsia="仿宋_GB2312" w:cs="Times New Roman"/>
          <w:color w:val="auto"/>
          <w:kern w:val="0"/>
          <w:sz w:val="32"/>
          <w:szCs w:val="28"/>
          <w:lang w:val="zh-CN" w:eastAsia="zh-CN"/>
        </w:rPr>
      </w:pPr>
      <w:r>
        <w:rPr>
          <w:rFonts w:hint="eastAsia" w:ascii="Times New Roman" w:hAnsi="Times New Roman" w:eastAsia="仿宋_GB2312" w:cs="Times New Roman"/>
          <w:color w:val="auto"/>
          <w:kern w:val="0"/>
          <w:sz w:val="32"/>
          <w:szCs w:val="28"/>
          <w:lang w:val="zh-CN" w:eastAsia="zh-CN"/>
        </w:rPr>
        <w:t>20</w:t>
      </w:r>
      <w:r>
        <w:rPr>
          <w:rFonts w:hint="eastAsia" w:ascii="Times New Roman" w:hAnsi="Times New Roman" w:eastAsia="仿宋_GB2312" w:cs="Times New Roman"/>
          <w:color w:val="auto"/>
          <w:kern w:val="0"/>
          <w:sz w:val="32"/>
          <w:szCs w:val="28"/>
          <w:lang w:val="en-US" w:eastAsia="zh-CN"/>
        </w:rPr>
        <w:t>21</w:t>
      </w:r>
      <w:r>
        <w:rPr>
          <w:rFonts w:hint="eastAsia" w:ascii="Times New Roman" w:hAnsi="Times New Roman" w:eastAsia="仿宋_GB2312" w:cs="Times New Roman"/>
          <w:color w:val="auto"/>
          <w:kern w:val="0"/>
          <w:sz w:val="32"/>
          <w:szCs w:val="28"/>
          <w:lang w:val="zh-CN" w:eastAsia="zh-CN"/>
        </w:rPr>
        <w:t>年度遂宁市市场监督管理局河东新区分局部门整体支出绩效评价综合</w:t>
      </w:r>
      <w:r>
        <w:rPr>
          <w:rFonts w:hint="eastAsia" w:ascii="Times New Roman" w:hAnsi="Times New Roman" w:eastAsia="仿宋_GB2312" w:cs="Times New Roman"/>
          <w:color w:val="auto"/>
          <w:kern w:val="0"/>
          <w:sz w:val="32"/>
          <w:szCs w:val="28"/>
          <w:highlight w:val="none"/>
          <w:lang w:val="en-US" w:eastAsia="zh-CN"/>
        </w:rPr>
        <w:t>得分为70分，</w:t>
      </w:r>
      <w:r>
        <w:rPr>
          <w:rFonts w:hint="eastAsia" w:ascii="Times New Roman" w:hAnsi="Times New Roman" w:eastAsia="仿宋_GB2312" w:cs="Times New Roman"/>
          <w:color w:val="auto"/>
          <w:kern w:val="0"/>
          <w:sz w:val="32"/>
          <w:szCs w:val="28"/>
          <w:lang w:val="zh-CN" w:eastAsia="zh-CN"/>
        </w:rPr>
        <w:t>具体评分情况见附件</w:t>
      </w:r>
      <w:r>
        <w:rPr>
          <w:rFonts w:hint="eastAsia" w:ascii="Times New Roman" w:hAnsi="Times New Roman" w:eastAsia="仿宋_GB2312" w:cs="Times New Roman"/>
          <w:color w:val="auto"/>
          <w:kern w:val="0"/>
          <w:sz w:val="32"/>
          <w:szCs w:val="28"/>
          <w:lang w:val="en-US" w:eastAsia="zh-CN"/>
        </w:rPr>
        <w:t>1，</w:t>
      </w:r>
      <w:r>
        <w:rPr>
          <w:rFonts w:hint="eastAsia" w:ascii="Times New Roman" w:hAnsi="Times New Roman" w:eastAsia="仿宋_GB2312" w:cs="Times New Roman"/>
          <w:color w:val="auto"/>
          <w:kern w:val="0"/>
          <w:sz w:val="32"/>
          <w:szCs w:val="28"/>
          <w:lang w:val="zh-CN"/>
        </w:rPr>
        <w:t>指标评分得详见下表</w:t>
      </w:r>
      <w:r>
        <w:rPr>
          <w:rFonts w:hint="eastAsia" w:ascii="Times New Roman" w:hAnsi="Times New Roman" w:eastAsia="仿宋_GB2312" w:cs="Times New Roman"/>
          <w:color w:val="auto"/>
          <w:kern w:val="0"/>
          <w:sz w:val="32"/>
          <w:szCs w:val="28"/>
          <w:lang w:val="en-US" w:eastAsia="zh-CN"/>
        </w:rPr>
        <w:t>3</w:t>
      </w:r>
      <w:r>
        <w:rPr>
          <w:rFonts w:hint="eastAsia" w:ascii="Times New Roman" w:hAnsi="Times New Roman" w:eastAsia="仿宋_GB2312" w:cs="Times New Roman"/>
          <w:color w:val="auto"/>
          <w:kern w:val="0"/>
          <w:sz w:val="32"/>
          <w:szCs w:val="28"/>
          <w:lang w:val="zh-CN" w:eastAsia="zh-CN"/>
        </w:rPr>
        <w:t>。</w:t>
      </w:r>
    </w:p>
    <w:p w14:paraId="61E37B30">
      <w:pPr>
        <w:pStyle w:val="16"/>
        <w:pageBreakBefore w:val="0"/>
        <w:kinsoku/>
        <w:wordWrap/>
        <w:overflowPunct/>
        <w:topLinePunct w:val="0"/>
        <w:autoSpaceDE/>
        <w:autoSpaceDN/>
        <w:bidi w:val="0"/>
        <w:spacing w:line="560" w:lineRule="exact"/>
        <w:ind w:firstLine="482" w:firstLineChars="200"/>
        <w:textAlignment w:val="auto"/>
        <w:rPr>
          <w:color w:val="auto"/>
        </w:rPr>
      </w:pPr>
      <w:r>
        <w:rPr>
          <w:color w:val="auto"/>
        </w:rPr>
        <w:t>表</w:t>
      </w:r>
      <w:r>
        <w:rPr>
          <w:rFonts w:hint="eastAsia"/>
          <w:color w:val="auto"/>
          <w:lang w:val="en-US" w:eastAsia="zh-CN"/>
        </w:rPr>
        <w:t>3</w:t>
      </w:r>
      <w:r>
        <w:rPr>
          <w:rFonts w:hint="eastAsia"/>
          <w:color w:val="auto"/>
        </w:rPr>
        <w:t xml:space="preserve">  </w:t>
      </w:r>
      <w:r>
        <w:rPr>
          <w:color w:val="auto"/>
        </w:rPr>
        <w:t>20</w:t>
      </w:r>
      <w:r>
        <w:rPr>
          <w:rFonts w:hint="eastAsia"/>
          <w:color w:val="auto"/>
          <w:lang w:val="en-US" w:eastAsia="zh-CN"/>
        </w:rPr>
        <w:t>21</w:t>
      </w:r>
      <w:r>
        <w:rPr>
          <w:color w:val="auto"/>
        </w:rPr>
        <w:t>年</w:t>
      </w:r>
      <w:r>
        <w:rPr>
          <w:rFonts w:hint="eastAsia"/>
          <w:color w:val="auto"/>
          <w:lang w:val="en-US" w:eastAsia="zh-CN"/>
        </w:rPr>
        <w:t>遂宁市市场监督管理局河东新区分局部门</w:t>
      </w:r>
      <w:r>
        <w:rPr>
          <w:color w:val="auto"/>
        </w:rPr>
        <w:t>整体支出绩效</w:t>
      </w:r>
      <w:r>
        <w:rPr>
          <w:rFonts w:hint="eastAsia"/>
          <w:color w:val="auto"/>
          <w:lang w:eastAsia="zh-CN"/>
        </w:rPr>
        <w:t>评分得</w:t>
      </w:r>
      <w:r>
        <w:rPr>
          <w:color w:val="auto"/>
        </w:rPr>
        <w:t>情况表</w:t>
      </w:r>
    </w:p>
    <w:tbl>
      <w:tblPr>
        <w:tblStyle w:val="10"/>
        <w:tblW w:w="4997" w:type="pct"/>
        <w:tblInd w:w="0" w:type="dxa"/>
        <w:shd w:val="clear" w:color="auto" w:fill="auto"/>
        <w:tblLayout w:type="autofit"/>
        <w:tblCellMar>
          <w:top w:w="0" w:type="dxa"/>
          <w:left w:w="108" w:type="dxa"/>
          <w:bottom w:w="0" w:type="dxa"/>
          <w:right w:w="108" w:type="dxa"/>
        </w:tblCellMar>
      </w:tblPr>
      <w:tblGrid>
        <w:gridCol w:w="1892"/>
        <w:gridCol w:w="1878"/>
        <w:gridCol w:w="1871"/>
        <w:gridCol w:w="952"/>
        <w:gridCol w:w="1119"/>
        <w:gridCol w:w="1119"/>
      </w:tblGrid>
      <w:tr w14:paraId="3094B300">
        <w:tblPrEx>
          <w:shd w:val="clear" w:color="auto" w:fill="auto"/>
          <w:tblCellMar>
            <w:top w:w="0" w:type="dxa"/>
            <w:left w:w="108" w:type="dxa"/>
            <w:bottom w:w="0" w:type="dxa"/>
            <w:right w:w="108" w:type="dxa"/>
          </w:tblCellMar>
        </w:tblPrEx>
        <w:trPr>
          <w:trHeight w:val="441" w:hRule="atLeast"/>
        </w:trPr>
        <w:tc>
          <w:tcPr>
            <w:tcW w:w="3193"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FE220C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绩效指标</w:t>
            </w:r>
          </w:p>
        </w:tc>
        <w:tc>
          <w:tcPr>
            <w:tcW w:w="53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7BD33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指标分值</w:t>
            </w:r>
          </w:p>
        </w:tc>
        <w:tc>
          <w:tcPr>
            <w:tcW w:w="63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4EEEEE">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得分</w:t>
            </w:r>
          </w:p>
        </w:tc>
        <w:tc>
          <w:tcPr>
            <w:tcW w:w="633" w:type="pct"/>
            <w:vMerge w:val="restart"/>
            <w:tcBorders>
              <w:top w:val="single" w:color="000000" w:sz="4" w:space="0"/>
              <w:left w:val="single" w:color="000000" w:sz="4" w:space="0"/>
              <w:right w:val="single" w:color="000000" w:sz="4" w:space="0"/>
            </w:tcBorders>
            <w:shd w:val="clear" w:color="auto" w:fill="auto"/>
            <w:vAlign w:val="center"/>
          </w:tcPr>
          <w:p w14:paraId="3B913EDA">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扣分</w:t>
            </w:r>
          </w:p>
        </w:tc>
      </w:tr>
      <w:tr w14:paraId="1B14CA57">
        <w:tblPrEx>
          <w:tblCellMar>
            <w:top w:w="0" w:type="dxa"/>
            <w:left w:w="108" w:type="dxa"/>
            <w:bottom w:w="0" w:type="dxa"/>
            <w:right w:w="108" w:type="dxa"/>
          </w:tblCellMar>
        </w:tblPrEx>
        <w:trPr>
          <w:trHeight w:val="345" w:hRule="atLeast"/>
        </w:trPr>
        <w:tc>
          <w:tcPr>
            <w:tcW w:w="10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1C94FE">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一级指标</w:t>
            </w:r>
          </w:p>
        </w:tc>
        <w:tc>
          <w:tcPr>
            <w:tcW w:w="10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CC8735">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二级指标</w:t>
            </w:r>
          </w:p>
        </w:tc>
        <w:tc>
          <w:tcPr>
            <w:tcW w:w="1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F8C6AE">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三级指标</w:t>
            </w:r>
          </w:p>
        </w:tc>
        <w:tc>
          <w:tcPr>
            <w:tcW w:w="5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B8A50C">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63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5C23B7">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633" w:type="pct"/>
            <w:vMerge w:val="continue"/>
            <w:tcBorders>
              <w:left w:val="single" w:color="000000" w:sz="4" w:space="0"/>
              <w:bottom w:val="single" w:color="000000" w:sz="4" w:space="0"/>
              <w:right w:val="single" w:color="000000" w:sz="4" w:space="0"/>
            </w:tcBorders>
            <w:shd w:val="clear" w:color="auto" w:fill="auto"/>
            <w:vAlign w:val="center"/>
          </w:tcPr>
          <w:p w14:paraId="37592383">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r>
      <w:tr w14:paraId="24FCF3E3">
        <w:tblPrEx>
          <w:tblCellMar>
            <w:top w:w="0" w:type="dxa"/>
            <w:left w:w="108" w:type="dxa"/>
            <w:bottom w:w="0" w:type="dxa"/>
            <w:right w:w="108" w:type="dxa"/>
          </w:tblCellMar>
        </w:tblPrEx>
        <w:trPr>
          <w:trHeight w:val="507" w:hRule="atLeast"/>
        </w:trPr>
        <w:tc>
          <w:tcPr>
            <w:tcW w:w="10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A7553B">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部门预算管理</w:t>
            </w:r>
          </w:p>
        </w:tc>
        <w:tc>
          <w:tcPr>
            <w:tcW w:w="106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C88B8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预算编制</w:t>
            </w:r>
          </w:p>
        </w:tc>
        <w:tc>
          <w:tcPr>
            <w:tcW w:w="1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A65C11">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目标制定</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ED296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9A578A">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1BBB9A">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0</w:t>
            </w:r>
          </w:p>
        </w:tc>
      </w:tr>
      <w:tr w14:paraId="214C434E">
        <w:tblPrEx>
          <w:tblCellMar>
            <w:top w:w="0" w:type="dxa"/>
            <w:left w:w="108" w:type="dxa"/>
            <w:bottom w:w="0" w:type="dxa"/>
            <w:right w:w="108" w:type="dxa"/>
          </w:tblCellMar>
        </w:tblPrEx>
        <w:trPr>
          <w:trHeight w:val="458" w:hRule="atLeast"/>
        </w:trPr>
        <w:tc>
          <w:tcPr>
            <w:tcW w:w="10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F93EB0">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6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4D14EA">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590996">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目标实现</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68479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C329C7">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78DAA0">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z w:val="24"/>
                <w:szCs w:val="24"/>
                <w:u w:val="none"/>
                <w:lang w:val="en-US" w:eastAsia="zh-CN"/>
              </w:rPr>
              <w:t>0</w:t>
            </w:r>
          </w:p>
        </w:tc>
      </w:tr>
      <w:tr w14:paraId="5A53DED5">
        <w:tblPrEx>
          <w:tblCellMar>
            <w:top w:w="0" w:type="dxa"/>
            <w:left w:w="108" w:type="dxa"/>
            <w:bottom w:w="0" w:type="dxa"/>
            <w:right w:w="108" w:type="dxa"/>
          </w:tblCellMar>
        </w:tblPrEx>
        <w:trPr>
          <w:trHeight w:val="466" w:hRule="atLeast"/>
        </w:trPr>
        <w:tc>
          <w:tcPr>
            <w:tcW w:w="10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D88DCD">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6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C42076">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C31ED1">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编制准确</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301ABB">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E5845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8AE55E">
            <w:pPr>
              <w:pageBreakBefore w:val="0"/>
              <w:wordWrap/>
              <w:overflowPunct/>
              <w:topLinePunct w:val="0"/>
              <w:bidi w:val="0"/>
              <w:spacing w:line="560" w:lineRule="exact"/>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10</w:t>
            </w:r>
          </w:p>
        </w:tc>
      </w:tr>
      <w:tr w14:paraId="1DC4306D">
        <w:tblPrEx>
          <w:tblCellMar>
            <w:top w:w="0" w:type="dxa"/>
            <w:left w:w="108" w:type="dxa"/>
            <w:bottom w:w="0" w:type="dxa"/>
            <w:right w:w="108" w:type="dxa"/>
          </w:tblCellMar>
        </w:tblPrEx>
        <w:trPr>
          <w:trHeight w:val="394" w:hRule="atLeast"/>
        </w:trPr>
        <w:tc>
          <w:tcPr>
            <w:tcW w:w="10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0FAE72">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6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F44948">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预算执行</w:t>
            </w:r>
          </w:p>
        </w:tc>
        <w:tc>
          <w:tcPr>
            <w:tcW w:w="1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D404B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支出控制</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BEE8C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2078B8">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90F318">
            <w:pPr>
              <w:pageBreakBefore w:val="0"/>
              <w:wordWrap/>
              <w:overflowPunct/>
              <w:topLinePunct w:val="0"/>
              <w:bidi w:val="0"/>
              <w:spacing w:line="560" w:lineRule="exact"/>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5</w:t>
            </w:r>
          </w:p>
        </w:tc>
      </w:tr>
      <w:tr w14:paraId="75885F3B">
        <w:tblPrEx>
          <w:tblCellMar>
            <w:top w:w="0" w:type="dxa"/>
            <w:left w:w="108" w:type="dxa"/>
            <w:bottom w:w="0" w:type="dxa"/>
            <w:right w:w="108" w:type="dxa"/>
          </w:tblCellMar>
        </w:tblPrEx>
        <w:trPr>
          <w:trHeight w:val="462" w:hRule="atLeast"/>
        </w:trPr>
        <w:tc>
          <w:tcPr>
            <w:tcW w:w="10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D1DCB1">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6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FB86CF">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0E283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动态调整</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EE2BA6">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2AB9FA">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95D6E0">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z w:val="24"/>
                <w:szCs w:val="24"/>
                <w:u w:val="none"/>
                <w:lang w:val="en-US" w:eastAsia="zh-CN"/>
              </w:rPr>
              <w:t>0</w:t>
            </w:r>
          </w:p>
        </w:tc>
      </w:tr>
      <w:tr w14:paraId="5AAF360E">
        <w:tblPrEx>
          <w:tblCellMar>
            <w:top w:w="0" w:type="dxa"/>
            <w:left w:w="108" w:type="dxa"/>
            <w:bottom w:w="0" w:type="dxa"/>
            <w:right w:w="108" w:type="dxa"/>
          </w:tblCellMar>
        </w:tblPrEx>
        <w:trPr>
          <w:trHeight w:val="445" w:hRule="atLeast"/>
        </w:trPr>
        <w:tc>
          <w:tcPr>
            <w:tcW w:w="10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AD5334">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63" w:type="pct"/>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3DD0A917">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59" w:type="pct"/>
            <w:tcBorders>
              <w:top w:val="single" w:color="000000" w:sz="4" w:space="0"/>
              <w:left w:val="single" w:color="000000" w:sz="4" w:space="0"/>
              <w:bottom w:val="single" w:color="auto" w:sz="4" w:space="0"/>
              <w:right w:val="single" w:color="000000" w:sz="4" w:space="0"/>
            </w:tcBorders>
            <w:shd w:val="clear" w:color="auto" w:fill="auto"/>
            <w:vAlign w:val="center"/>
          </w:tcPr>
          <w:p w14:paraId="6E5A3D70">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执行进度</w:t>
            </w:r>
          </w:p>
        </w:tc>
        <w:tc>
          <w:tcPr>
            <w:tcW w:w="539" w:type="pct"/>
            <w:tcBorders>
              <w:top w:val="single" w:color="000000" w:sz="4" w:space="0"/>
              <w:left w:val="single" w:color="000000" w:sz="4" w:space="0"/>
              <w:bottom w:val="single" w:color="auto" w:sz="4" w:space="0"/>
              <w:right w:val="single" w:color="000000" w:sz="4" w:space="0"/>
            </w:tcBorders>
            <w:shd w:val="clear" w:color="auto" w:fill="auto"/>
            <w:vAlign w:val="center"/>
          </w:tcPr>
          <w:p w14:paraId="6984E9C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000000" w:sz="4" w:space="0"/>
              <w:left w:val="single" w:color="000000" w:sz="4" w:space="0"/>
              <w:bottom w:val="single" w:color="auto" w:sz="4" w:space="0"/>
              <w:right w:val="single" w:color="000000" w:sz="4" w:space="0"/>
            </w:tcBorders>
            <w:shd w:val="clear" w:color="auto" w:fill="auto"/>
            <w:vAlign w:val="center"/>
          </w:tcPr>
          <w:p w14:paraId="0E8389F8">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633" w:type="pct"/>
            <w:tcBorders>
              <w:top w:val="single" w:color="000000" w:sz="4" w:space="0"/>
              <w:left w:val="single" w:color="000000" w:sz="4" w:space="0"/>
              <w:bottom w:val="single" w:color="auto" w:sz="4" w:space="0"/>
              <w:right w:val="single" w:color="000000" w:sz="4" w:space="0"/>
            </w:tcBorders>
            <w:shd w:val="clear" w:color="auto" w:fill="auto"/>
            <w:vAlign w:val="center"/>
          </w:tcPr>
          <w:p w14:paraId="2D88A1A4">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z w:val="24"/>
                <w:szCs w:val="24"/>
                <w:u w:val="none"/>
                <w:lang w:val="en-US" w:eastAsia="zh-CN"/>
              </w:rPr>
              <w:t>10</w:t>
            </w:r>
          </w:p>
        </w:tc>
      </w:tr>
      <w:tr w14:paraId="6D645AFE">
        <w:tblPrEx>
          <w:tblCellMar>
            <w:top w:w="0" w:type="dxa"/>
            <w:left w:w="108" w:type="dxa"/>
            <w:bottom w:w="0" w:type="dxa"/>
            <w:right w:w="108" w:type="dxa"/>
          </w:tblCellMar>
        </w:tblPrEx>
        <w:trPr>
          <w:trHeight w:val="463" w:hRule="atLeast"/>
        </w:trPr>
        <w:tc>
          <w:tcPr>
            <w:tcW w:w="107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50A6C181">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6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17DACE5">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完成结果</w:t>
            </w:r>
          </w:p>
        </w:tc>
        <w:tc>
          <w:tcPr>
            <w:tcW w:w="1059" w:type="pct"/>
            <w:tcBorders>
              <w:top w:val="single" w:color="auto" w:sz="4" w:space="0"/>
              <w:left w:val="single" w:color="auto" w:sz="4" w:space="0"/>
              <w:bottom w:val="single" w:color="auto" w:sz="4" w:space="0"/>
              <w:right w:val="single" w:color="auto" w:sz="4" w:space="0"/>
            </w:tcBorders>
            <w:shd w:val="clear" w:color="auto" w:fill="auto"/>
            <w:vAlign w:val="center"/>
          </w:tcPr>
          <w:p w14:paraId="303C557B">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预算完成</w:t>
            </w:r>
          </w:p>
        </w:tc>
        <w:tc>
          <w:tcPr>
            <w:tcW w:w="539" w:type="pct"/>
            <w:tcBorders>
              <w:top w:val="single" w:color="auto" w:sz="4" w:space="0"/>
              <w:left w:val="single" w:color="auto" w:sz="4" w:space="0"/>
              <w:bottom w:val="single" w:color="auto" w:sz="4" w:space="0"/>
              <w:right w:val="single" w:color="auto" w:sz="4" w:space="0"/>
            </w:tcBorders>
            <w:shd w:val="clear" w:color="auto" w:fill="auto"/>
            <w:vAlign w:val="center"/>
          </w:tcPr>
          <w:p w14:paraId="1B6AAEE8">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4F61CD53">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50C07916">
            <w:pPr>
              <w:pageBreakBefore w:val="0"/>
              <w:wordWrap/>
              <w:overflowPunct/>
              <w:topLinePunct w:val="0"/>
              <w:bidi w:val="0"/>
              <w:spacing w:line="560" w:lineRule="exact"/>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0</w:t>
            </w:r>
          </w:p>
        </w:tc>
      </w:tr>
      <w:tr w14:paraId="5498D9BF">
        <w:tblPrEx>
          <w:tblCellMar>
            <w:top w:w="0" w:type="dxa"/>
            <w:left w:w="108" w:type="dxa"/>
            <w:bottom w:w="0" w:type="dxa"/>
            <w:right w:w="108" w:type="dxa"/>
          </w:tblCellMar>
        </w:tblPrEx>
        <w:trPr>
          <w:trHeight w:val="453" w:hRule="atLeast"/>
        </w:trPr>
        <w:tc>
          <w:tcPr>
            <w:tcW w:w="107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0EC5B661">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6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056AC40">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59" w:type="pct"/>
            <w:tcBorders>
              <w:top w:val="single" w:color="auto" w:sz="4" w:space="0"/>
              <w:left w:val="single" w:color="auto" w:sz="4" w:space="0"/>
              <w:bottom w:val="single" w:color="auto" w:sz="4" w:space="0"/>
              <w:right w:val="single" w:color="auto" w:sz="4" w:space="0"/>
            </w:tcBorders>
            <w:shd w:val="clear" w:color="auto" w:fill="auto"/>
            <w:vAlign w:val="center"/>
          </w:tcPr>
          <w:p w14:paraId="4FF7A888">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违规记录</w:t>
            </w:r>
          </w:p>
        </w:tc>
        <w:tc>
          <w:tcPr>
            <w:tcW w:w="539" w:type="pct"/>
            <w:tcBorders>
              <w:top w:val="single" w:color="auto" w:sz="4" w:space="0"/>
              <w:left w:val="single" w:color="auto" w:sz="4" w:space="0"/>
              <w:bottom w:val="single" w:color="auto" w:sz="4" w:space="0"/>
              <w:right w:val="single" w:color="auto" w:sz="4" w:space="0"/>
            </w:tcBorders>
            <w:shd w:val="clear" w:color="auto" w:fill="auto"/>
            <w:vAlign w:val="center"/>
          </w:tcPr>
          <w:p w14:paraId="34AAFD0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01AAAF07">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4B5B3E5A">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z w:val="24"/>
                <w:szCs w:val="24"/>
                <w:u w:val="none"/>
                <w:lang w:val="en-US" w:eastAsia="zh-CN"/>
              </w:rPr>
              <w:t>0</w:t>
            </w:r>
          </w:p>
        </w:tc>
      </w:tr>
      <w:tr w14:paraId="6FD33AEC">
        <w:tblPrEx>
          <w:tblCellMar>
            <w:top w:w="0" w:type="dxa"/>
            <w:left w:w="108" w:type="dxa"/>
            <w:bottom w:w="0" w:type="dxa"/>
            <w:right w:w="108" w:type="dxa"/>
          </w:tblCellMar>
        </w:tblPrEx>
        <w:trPr>
          <w:trHeight w:val="444" w:hRule="atLeast"/>
        </w:trPr>
        <w:tc>
          <w:tcPr>
            <w:tcW w:w="1071" w:type="pct"/>
            <w:vMerge w:val="restart"/>
            <w:tcBorders>
              <w:top w:val="single" w:color="000000" w:sz="4" w:space="0"/>
              <w:left w:val="single" w:color="000000" w:sz="4" w:space="0"/>
              <w:bottom w:val="single" w:color="000000" w:sz="4" w:space="0"/>
              <w:right w:val="single" w:color="auto" w:sz="4" w:space="0"/>
            </w:tcBorders>
            <w:shd w:val="clear" w:color="auto" w:fill="auto"/>
            <w:vAlign w:val="center"/>
          </w:tcPr>
          <w:p w14:paraId="2222CD95">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绩效结果应用</w:t>
            </w:r>
          </w:p>
        </w:tc>
        <w:tc>
          <w:tcPr>
            <w:tcW w:w="1063" w:type="pct"/>
            <w:tcBorders>
              <w:top w:val="single" w:color="auto" w:sz="4" w:space="0"/>
              <w:left w:val="single" w:color="auto" w:sz="4" w:space="0"/>
              <w:bottom w:val="single" w:color="auto" w:sz="4" w:space="0"/>
              <w:right w:val="single" w:color="auto" w:sz="4" w:space="0"/>
            </w:tcBorders>
            <w:shd w:val="clear" w:color="auto" w:fill="auto"/>
            <w:vAlign w:val="center"/>
          </w:tcPr>
          <w:p w14:paraId="19556F90">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信息公开</w:t>
            </w:r>
          </w:p>
        </w:tc>
        <w:tc>
          <w:tcPr>
            <w:tcW w:w="1059" w:type="pct"/>
            <w:tcBorders>
              <w:top w:val="single" w:color="auto" w:sz="4" w:space="0"/>
              <w:left w:val="single" w:color="auto" w:sz="4" w:space="0"/>
              <w:bottom w:val="single" w:color="auto" w:sz="4" w:space="0"/>
              <w:right w:val="single" w:color="auto" w:sz="4" w:space="0"/>
            </w:tcBorders>
            <w:shd w:val="clear" w:color="auto" w:fill="auto"/>
            <w:vAlign w:val="center"/>
          </w:tcPr>
          <w:p w14:paraId="31D723E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自评公开</w:t>
            </w:r>
          </w:p>
        </w:tc>
        <w:tc>
          <w:tcPr>
            <w:tcW w:w="539" w:type="pct"/>
            <w:tcBorders>
              <w:top w:val="single" w:color="auto" w:sz="4" w:space="0"/>
              <w:left w:val="single" w:color="auto" w:sz="4" w:space="0"/>
              <w:bottom w:val="single" w:color="auto" w:sz="4" w:space="0"/>
              <w:right w:val="single" w:color="auto" w:sz="4" w:space="0"/>
            </w:tcBorders>
            <w:shd w:val="clear" w:color="auto" w:fill="auto"/>
            <w:vAlign w:val="center"/>
          </w:tcPr>
          <w:p w14:paraId="3199F904">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77C65FF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375287EF">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z w:val="24"/>
                <w:szCs w:val="24"/>
                <w:u w:val="none"/>
                <w:lang w:val="en-US" w:eastAsia="zh-CN"/>
              </w:rPr>
              <w:t>0</w:t>
            </w:r>
          </w:p>
        </w:tc>
      </w:tr>
      <w:tr w14:paraId="190537AF">
        <w:tblPrEx>
          <w:tblCellMar>
            <w:top w:w="0" w:type="dxa"/>
            <w:left w:w="108" w:type="dxa"/>
            <w:bottom w:w="0" w:type="dxa"/>
            <w:right w:w="108" w:type="dxa"/>
          </w:tblCellMar>
        </w:tblPrEx>
        <w:trPr>
          <w:trHeight w:val="451" w:hRule="atLeast"/>
        </w:trPr>
        <w:tc>
          <w:tcPr>
            <w:tcW w:w="107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3C9DDAF7">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6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9A9BAD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整改反馈</w:t>
            </w:r>
          </w:p>
        </w:tc>
        <w:tc>
          <w:tcPr>
            <w:tcW w:w="1059" w:type="pct"/>
            <w:tcBorders>
              <w:top w:val="single" w:color="auto" w:sz="4" w:space="0"/>
              <w:left w:val="single" w:color="auto" w:sz="4" w:space="0"/>
              <w:bottom w:val="single" w:color="auto" w:sz="4" w:space="0"/>
              <w:right w:val="single" w:color="auto" w:sz="4" w:space="0"/>
            </w:tcBorders>
            <w:shd w:val="clear" w:color="auto" w:fill="auto"/>
            <w:vAlign w:val="center"/>
          </w:tcPr>
          <w:p w14:paraId="0D314AD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结果整改</w:t>
            </w:r>
          </w:p>
        </w:tc>
        <w:tc>
          <w:tcPr>
            <w:tcW w:w="539" w:type="pct"/>
            <w:tcBorders>
              <w:top w:val="single" w:color="auto" w:sz="4" w:space="0"/>
              <w:left w:val="single" w:color="auto" w:sz="4" w:space="0"/>
              <w:bottom w:val="single" w:color="auto" w:sz="4" w:space="0"/>
              <w:right w:val="single" w:color="auto" w:sz="4" w:space="0"/>
            </w:tcBorders>
            <w:shd w:val="clear" w:color="auto" w:fill="auto"/>
            <w:vAlign w:val="center"/>
          </w:tcPr>
          <w:p w14:paraId="0FBB86F6">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339F988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12B5DCBF">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z w:val="24"/>
                <w:szCs w:val="24"/>
                <w:u w:val="none"/>
                <w:lang w:val="en-US" w:eastAsia="zh-CN"/>
              </w:rPr>
              <w:t>0</w:t>
            </w:r>
          </w:p>
        </w:tc>
      </w:tr>
      <w:tr w14:paraId="0D365931">
        <w:tblPrEx>
          <w:tblCellMar>
            <w:top w:w="0" w:type="dxa"/>
            <w:left w:w="108" w:type="dxa"/>
            <w:bottom w:w="0" w:type="dxa"/>
            <w:right w:w="108" w:type="dxa"/>
          </w:tblCellMar>
        </w:tblPrEx>
        <w:trPr>
          <w:trHeight w:val="414" w:hRule="atLeast"/>
        </w:trPr>
        <w:tc>
          <w:tcPr>
            <w:tcW w:w="107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16F44C9C">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6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F7501F8">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59" w:type="pct"/>
            <w:tcBorders>
              <w:top w:val="single" w:color="auto" w:sz="4" w:space="0"/>
              <w:left w:val="single" w:color="auto" w:sz="4" w:space="0"/>
              <w:bottom w:val="single" w:color="auto" w:sz="4" w:space="0"/>
              <w:right w:val="single" w:color="auto" w:sz="4" w:space="0"/>
            </w:tcBorders>
            <w:shd w:val="clear" w:color="auto" w:fill="auto"/>
            <w:vAlign w:val="center"/>
          </w:tcPr>
          <w:p w14:paraId="62A9872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应用反馈</w:t>
            </w:r>
          </w:p>
        </w:tc>
        <w:tc>
          <w:tcPr>
            <w:tcW w:w="539" w:type="pct"/>
            <w:tcBorders>
              <w:top w:val="single" w:color="auto" w:sz="4" w:space="0"/>
              <w:left w:val="single" w:color="auto" w:sz="4" w:space="0"/>
              <w:bottom w:val="single" w:color="auto" w:sz="4" w:space="0"/>
              <w:right w:val="single" w:color="auto" w:sz="4" w:space="0"/>
            </w:tcBorders>
            <w:shd w:val="clear" w:color="auto" w:fill="auto"/>
            <w:vAlign w:val="center"/>
          </w:tcPr>
          <w:p w14:paraId="7D0F5352">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24F03D91">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748010CD">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z w:val="24"/>
                <w:szCs w:val="24"/>
                <w:u w:val="none"/>
                <w:lang w:val="en-US" w:eastAsia="zh-CN"/>
              </w:rPr>
              <w:t>0</w:t>
            </w:r>
          </w:p>
        </w:tc>
      </w:tr>
      <w:tr w14:paraId="138602E6">
        <w:tblPrEx>
          <w:tblCellMar>
            <w:top w:w="0" w:type="dxa"/>
            <w:left w:w="108" w:type="dxa"/>
            <w:bottom w:w="0" w:type="dxa"/>
            <w:right w:w="108" w:type="dxa"/>
          </w:tblCellMar>
        </w:tblPrEx>
        <w:trPr>
          <w:trHeight w:val="510" w:hRule="atLeast"/>
        </w:trPr>
        <w:tc>
          <w:tcPr>
            <w:tcW w:w="1071" w:type="pct"/>
            <w:tcBorders>
              <w:top w:val="single" w:color="000000" w:sz="4" w:space="0"/>
              <w:left w:val="single" w:color="000000" w:sz="4" w:space="0"/>
              <w:bottom w:val="single" w:color="000000" w:sz="4" w:space="0"/>
              <w:right w:val="single" w:color="auto" w:sz="4" w:space="0"/>
            </w:tcBorders>
            <w:shd w:val="clear" w:color="auto" w:fill="auto"/>
            <w:vAlign w:val="center"/>
          </w:tcPr>
          <w:p w14:paraId="467CFA5E">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自评质量</w:t>
            </w:r>
          </w:p>
        </w:tc>
        <w:tc>
          <w:tcPr>
            <w:tcW w:w="1063" w:type="pct"/>
            <w:tcBorders>
              <w:top w:val="single" w:color="auto" w:sz="4" w:space="0"/>
              <w:left w:val="single" w:color="auto" w:sz="4" w:space="0"/>
              <w:bottom w:val="single" w:color="auto" w:sz="4" w:space="0"/>
              <w:right w:val="single" w:color="auto" w:sz="4" w:space="0"/>
            </w:tcBorders>
            <w:shd w:val="clear" w:color="auto" w:fill="auto"/>
            <w:vAlign w:val="center"/>
          </w:tcPr>
          <w:p w14:paraId="0FA54EE4">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自评质量</w:t>
            </w:r>
          </w:p>
        </w:tc>
        <w:tc>
          <w:tcPr>
            <w:tcW w:w="1059" w:type="pct"/>
            <w:tcBorders>
              <w:top w:val="single" w:color="auto" w:sz="4" w:space="0"/>
              <w:left w:val="single" w:color="auto" w:sz="4" w:space="0"/>
              <w:bottom w:val="single" w:color="auto" w:sz="4" w:space="0"/>
              <w:right w:val="single" w:color="auto" w:sz="4" w:space="0"/>
            </w:tcBorders>
            <w:shd w:val="clear" w:color="auto" w:fill="auto"/>
            <w:vAlign w:val="center"/>
          </w:tcPr>
          <w:p w14:paraId="48477145">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自评准确</w:t>
            </w:r>
          </w:p>
        </w:tc>
        <w:tc>
          <w:tcPr>
            <w:tcW w:w="539" w:type="pct"/>
            <w:tcBorders>
              <w:top w:val="single" w:color="auto" w:sz="4" w:space="0"/>
              <w:left w:val="single" w:color="auto" w:sz="4" w:space="0"/>
              <w:bottom w:val="single" w:color="auto" w:sz="4" w:space="0"/>
              <w:right w:val="single" w:color="auto" w:sz="4" w:space="0"/>
            </w:tcBorders>
            <w:shd w:val="clear" w:color="auto" w:fill="auto"/>
            <w:vAlign w:val="center"/>
          </w:tcPr>
          <w:p w14:paraId="46D307C6">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00110F65">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6</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61F00A0F">
            <w:pPr>
              <w:pageBreakBefore w:val="0"/>
              <w:wordWrap/>
              <w:overflowPunct/>
              <w:topLinePunct w:val="0"/>
              <w:bidi w:val="0"/>
              <w:spacing w:line="560" w:lineRule="exact"/>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4</w:t>
            </w:r>
          </w:p>
        </w:tc>
      </w:tr>
      <w:tr w14:paraId="24D392CC">
        <w:tblPrEx>
          <w:tblCellMar>
            <w:top w:w="0" w:type="dxa"/>
            <w:left w:w="108" w:type="dxa"/>
            <w:bottom w:w="0" w:type="dxa"/>
            <w:right w:w="108" w:type="dxa"/>
          </w:tblCellMar>
        </w:tblPrEx>
        <w:trPr>
          <w:trHeight w:val="510" w:hRule="atLeast"/>
        </w:trPr>
        <w:tc>
          <w:tcPr>
            <w:tcW w:w="3193"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1A99E21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合计</w:t>
            </w:r>
          </w:p>
        </w:tc>
        <w:tc>
          <w:tcPr>
            <w:tcW w:w="539" w:type="pct"/>
            <w:tcBorders>
              <w:top w:val="single" w:color="auto" w:sz="4" w:space="0"/>
              <w:left w:val="single" w:color="auto" w:sz="4" w:space="0"/>
              <w:bottom w:val="single" w:color="auto" w:sz="4" w:space="0"/>
              <w:right w:val="single" w:color="auto" w:sz="4" w:space="0"/>
            </w:tcBorders>
            <w:shd w:val="clear" w:color="auto" w:fill="auto"/>
            <w:vAlign w:val="center"/>
          </w:tcPr>
          <w:p w14:paraId="57B8ED3A">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100</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367EB218">
            <w:pPr>
              <w:pageBreakBefore w:val="0"/>
              <w:wordWrap/>
              <w:overflowPunct/>
              <w:topLinePunct w:val="0"/>
              <w:bidi w:val="0"/>
              <w:spacing w:line="560" w:lineRule="exact"/>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71</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19F9637E">
            <w:pPr>
              <w:pageBreakBefore w:val="0"/>
              <w:wordWrap/>
              <w:overflowPunct/>
              <w:topLinePunct w:val="0"/>
              <w:bidi w:val="0"/>
              <w:spacing w:line="560" w:lineRule="exact"/>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29</w:t>
            </w:r>
          </w:p>
        </w:tc>
      </w:tr>
    </w:tbl>
    <w:p w14:paraId="2E8159D4">
      <w:pPr>
        <w:pStyle w:val="5"/>
        <w:pageBreakBefore w:val="0"/>
        <w:numPr>
          <w:ilvl w:val="1"/>
          <w:numId w:val="0"/>
        </w:numPr>
        <w:kinsoku/>
        <w:wordWrap/>
        <w:overflowPunct/>
        <w:topLinePunct w:val="0"/>
        <w:autoSpaceDE/>
        <w:autoSpaceDN/>
        <w:bidi w:val="0"/>
        <w:spacing w:line="560" w:lineRule="exact"/>
        <w:ind w:leftChars="0" w:firstLine="643" w:firstLineChars="200"/>
        <w:rPr>
          <w:rFonts w:hint="eastAsia"/>
          <w:b/>
          <w:bCs/>
          <w:color w:val="auto"/>
          <w:szCs w:val="32"/>
          <w:lang w:val="en-US" w:eastAsia="zh-CN"/>
        </w:rPr>
      </w:pPr>
      <w:r>
        <w:rPr>
          <w:rFonts w:hint="eastAsia"/>
          <w:b/>
          <w:bCs/>
          <w:color w:val="auto"/>
          <w:szCs w:val="32"/>
          <w:lang w:val="en-US" w:eastAsia="zh-CN"/>
        </w:rPr>
        <w:t>（二）基本运行绩效分析</w:t>
      </w:r>
    </w:p>
    <w:p w14:paraId="2761B47E">
      <w:pPr>
        <w:pStyle w:val="4"/>
        <w:pageBreakBefore w:val="0"/>
        <w:widowControl w:val="0"/>
        <w:numPr>
          <w:ilvl w:val="-1"/>
          <w:numId w:val="0"/>
        </w:numPr>
        <w:kinsoku/>
        <w:wordWrap/>
        <w:overflowPunct/>
        <w:topLinePunct w:val="0"/>
        <w:autoSpaceDE/>
        <w:autoSpaceDN/>
        <w:bidi w:val="0"/>
        <w:spacing w:line="560" w:lineRule="exact"/>
        <w:ind w:left="0" w:leftChars="0" w:firstLine="643" w:firstLineChars="200"/>
        <w:textAlignment w:val="auto"/>
        <w:outlineLvl w:val="2"/>
        <w:rPr>
          <w:rFonts w:hint="eastAsia"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1.部门预算编制</w:t>
      </w:r>
    </w:p>
    <w:p w14:paraId="2D8689DE">
      <w:pPr>
        <w:pStyle w:val="4"/>
        <w:pageBreakBefore w:val="0"/>
        <w:widowControl w:val="0"/>
        <w:numPr>
          <w:ilvl w:val="-1"/>
          <w:numId w:val="0"/>
        </w:numPr>
        <w:kinsoku/>
        <w:wordWrap/>
        <w:overflowPunct/>
        <w:topLinePunct w:val="0"/>
        <w:autoSpaceDE/>
        <w:autoSpaceDN/>
        <w:bidi w:val="0"/>
        <w:spacing w:line="560" w:lineRule="exact"/>
        <w:ind w:left="0" w:leftChars="0" w:firstLine="643" w:firstLineChars="200"/>
        <w:textAlignment w:val="auto"/>
        <w:outlineLvl w:val="2"/>
        <w:rPr>
          <w:rFonts w:hint="default"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（1）预算编制</w:t>
      </w:r>
    </w:p>
    <w:p w14:paraId="221AB979">
      <w:pPr>
        <w:pStyle w:val="4"/>
        <w:pageBreakBefore w:val="0"/>
        <w:widowControl w:val="0"/>
        <w:numPr>
          <w:ilvl w:val="0"/>
          <w:numId w:val="0"/>
        </w:numPr>
        <w:kinsoku/>
        <w:wordWrap/>
        <w:overflowPunct/>
        <w:topLinePunct w:val="0"/>
        <w:autoSpaceDE/>
        <w:autoSpaceDN/>
        <w:bidi w:val="0"/>
        <w:spacing w:line="560" w:lineRule="exact"/>
        <w:ind w:firstLine="643" w:firstLineChars="200"/>
        <w:textAlignment w:val="auto"/>
        <w:outlineLvl w:val="9"/>
        <w:rPr>
          <w:rFonts w:hint="default"/>
          <w:color w:val="auto"/>
          <w:lang w:val="en-US" w:eastAsia="zh-CN"/>
        </w:rPr>
      </w:pPr>
      <w:r>
        <w:rPr>
          <w:rFonts w:hint="eastAsia"/>
          <w:b/>
          <w:bCs/>
          <w:color w:val="auto"/>
          <w:szCs w:val="32"/>
          <w:lang w:val="en-US" w:eastAsia="zh-CN"/>
        </w:rPr>
        <w:t>①目标制定</w:t>
      </w:r>
    </w:p>
    <w:p w14:paraId="1E82B59B">
      <w:pPr>
        <w:pStyle w:val="4"/>
        <w:pageBreakBefore w:val="0"/>
        <w:wordWrap/>
        <w:overflowPunct/>
        <w:topLinePunct w:val="0"/>
        <w:bidi w:val="0"/>
        <w:spacing w:line="560" w:lineRule="exact"/>
        <w:rPr>
          <w:rFonts w:hint="eastAsia"/>
          <w:color w:val="000000" w:themeColor="text1"/>
          <w:highlight w:val="none"/>
          <w:lang w:val="en-US"/>
          <w14:textFill>
            <w14:solidFill>
              <w14:schemeClr w14:val="tx1"/>
            </w14:solidFill>
          </w14:textFill>
        </w:rPr>
      </w:pPr>
      <w:r>
        <w:rPr>
          <w:rFonts w:hint="eastAsia"/>
          <w:highlight w:val="none"/>
          <w:lang w:val="en-US" w:eastAsia="zh-CN"/>
        </w:rPr>
        <w:t>市场监督管理局分局</w:t>
      </w:r>
      <w:r>
        <w:rPr>
          <w:rFonts w:hint="eastAsia"/>
          <w:highlight w:val="none"/>
        </w:rPr>
        <w:t>整体绩效目标年度主要任务包括  电动巡逻车运行维护费</w:t>
      </w:r>
      <w:r>
        <w:rPr>
          <w:rFonts w:hint="eastAsia"/>
          <w:highlight w:val="none"/>
          <w:lang w:eastAsia="zh-CN"/>
        </w:rPr>
        <w:t>、</w:t>
      </w:r>
      <w:r>
        <w:rPr>
          <w:rFonts w:hint="eastAsia"/>
          <w:highlight w:val="none"/>
        </w:rPr>
        <w:t>个协工作经费</w:t>
      </w:r>
      <w:r>
        <w:rPr>
          <w:rFonts w:hint="eastAsia"/>
          <w:highlight w:val="none"/>
          <w:lang w:eastAsia="zh-CN"/>
        </w:rPr>
        <w:t>、</w:t>
      </w:r>
      <w:r>
        <w:rPr>
          <w:rFonts w:hint="eastAsia"/>
          <w:highlight w:val="none"/>
        </w:rPr>
        <w:t>服装购置</w:t>
      </w:r>
      <w:r>
        <w:rPr>
          <w:rFonts w:hint="eastAsia"/>
          <w:highlight w:val="none"/>
          <w:lang w:eastAsia="zh-CN"/>
        </w:rPr>
        <w:t>、</w:t>
      </w:r>
      <w:r>
        <w:rPr>
          <w:rFonts w:hint="eastAsia"/>
          <w:highlight w:val="none"/>
        </w:rPr>
        <w:t>信息化建设</w:t>
      </w:r>
      <w:r>
        <w:rPr>
          <w:rFonts w:hint="eastAsia"/>
          <w:highlight w:val="none"/>
          <w:lang w:eastAsia="zh-CN"/>
        </w:rPr>
        <w:t>、</w:t>
      </w:r>
      <w:r>
        <w:rPr>
          <w:rFonts w:hint="eastAsia"/>
          <w:highlight w:val="none"/>
        </w:rPr>
        <w:t>质量安全监管、3.15宣传</w:t>
      </w:r>
      <w:r>
        <w:rPr>
          <w:rFonts w:hint="eastAsia"/>
          <w:highlight w:val="none"/>
          <w:lang w:val="en-US" w:eastAsia="zh-CN"/>
        </w:rPr>
        <w:t>及</w:t>
      </w:r>
      <w:r>
        <w:rPr>
          <w:rFonts w:hint="eastAsia"/>
          <w:highlight w:val="none"/>
        </w:rPr>
        <w:t>双心创建</w:t>
      </w:r>
      <w:r>
        <w:rPr>
          <w:rFonts w:hint="eastAsia"/>
          <w:highlight w:val="none"/>
          <w:lang w:eastAsia="zh-CN"/>
        </w:rPr>
        <w:t>、</w:t>
      </w:r>
      <w:r>
        <w:rPr>
          <w:rFonts w:hint="eastAsia"/>
          <w:highlight w:val="none"/>
        </w:rPr>
        <w:t>建设集中监管仓</w:t>
      </w:r>
      <w:r>
        <w:rPr>
          <w:rFonts w:hint="eastAsia"/>
          <w:highlight w:val="none"/>
          <w:lang w:eastAsia="zh-CN"/>
        </w:rPr>
        <w:t>、</w:t>
      </w:r>
      <w:r>
        <w:rPr>
          <w:rFonts w:hint="eastAsia"/>
          <w:highlight w:val="none"/>
        </w:rPr>
        <w:t>春节慰问</w:t>
      </w:r>
      <w:r>
        <w:rPr>
          <w:rFonts w:hint="eastAsia"/>
          <w:highlight w:val="none"/>
          <w:lang w:eastAsia="zh-CN"/>
        </w:rPr>
        <w:t>、</w:t>
      </w:r>
      <w:r>
        <w:rPr>
          <w:rFonts w:hint="eastAsia"/>
          <w:highlight w:val="none"/>
        </w:rPr>
        <w:t>双随机抽检</w:t>
      </w:r>
      <w:r>
        <w:rPr>
          <w:rFonts w:hint="eastAsia"/>
          <w:highlight w:val="none"/>
          <w:lang w:eastAsia="zh-CN"/>
        </w:rPr>
        <w:t>、</w:t>
      </w:r>
      <w:r>
        <w:rPr>
          <w:rFonts w:hint="eastAsia"/>
          <w:highlight w:val="none"/>
        </w:rPr>
        <w:t>食品抽检</w:t>
      </w:r>
      <w:r>
        <w:rPr>
          <w:rFonts w:hint="eastAsia"/>
          <w:highlight w:val="none"/>
          <w:lang w:val="en-US" w:eastAsia="zh-CN"/>
        </w:rPr>
        <w:t>及</w:t>
      </w:r>
      <w:r>
        <w:rPr>
          <w:rFonts w:hint="eastAsia"/>
          <w:highlight w:val="none"/>
        </w:rPr>
        <w:t>基本支出</w:t>
      </w:r>
      <w:r>
        <w:rPr>
          <w:rFonts w:hint="eastAsia"/>
          <w:color w:val="000000" w:themeColor="text1"/>
          <w:highlight w:val="none"/>
          <w:lang w:val="en-US" w:eastAsia="zh-CN"/>
          <w14:textFill>
            <w14:solidFill>
              <w14:schemeClr w14:val="tx1"/>
            </w14:solidFill>
          </w14:textFill>
        </w:rPr>
        <w:t>11</w:t>
      </w:r>
      <w:r>
        <w:rPr>
          <w:rFonts w:hint="eastAsia"/>
          <w:highlight w:val="none"/>
          <w:lang w:val="en-US"/>
        </w:rPr>
        <w:t>项</w:t>
      </w:r>
      <w:r>
        <w:rPr>
          <w:rFonts w:hint="eastAsia"/>
          <w:highlight w:val="none"/>
          <w:lang w:val="en-US" w:eastAsia="zh-CN"/>
        </w:rPr>
        <w:t>工作费用的合理安排和支出</w:t>
      </w:r>
      <w:r>
        <w:rPr>
          <w:rFonts w:hint="eastAsia"/>
          <w:highlight w:val="none"/>
          <w:lang w:eastAsia="zh-CN"/>
        </w:rPr>
        <w:t>，</w:t>
      </w:r>
      <w:r>
        <w:rPr>
          <w:rFonts w:hint="eastAsia"/>
          <w:highlight w:val="none"/>
          <w:lang w:val="en-US" w:eastAsia="zh-CN"/>
        </w:rPr>
        <w:t>整体</w:t>
      </w:r>
      <w:r>
        <w:rPr>
          <w:rFonts w:hint="eastAsia"/>
          <w:color w:val="000000" w:themeColor="text1"/>
          <w:highlight w:val="none"/>
          <w:lang w:val="en-US"/>
          <w14:textFill>
            <w14:solidFill>
              <w14:schemeClr w14:val="tx1"/>
            </w14:solidFill>
          </w14:textFill>
        </w:rPr>
        <w:t>绩效目标编制含数量、质量、成本、时效、效益、满意度等指标，要素完整，指标设置符合规范要求。</w:t>
      </w:r>
    </w:p>
    <w:p w14:paraId="23BC8409">
      <w:pPr>
        <w:pStyle w:val="4"/>
        <w:pageBreakBefore w:val="0"/>
        <w:wordWrap/>
        <w:overflowPunct/>
        <w:topLinePunct w:val="0"/>
        <w:bidi w:val="0"/>
        <w:spacing w:line="560" w:lineRule="exact"/>
        <w:rPr>
          <w:rFonts w:hint="eastAsia"/>
          <w:color w:val="000000" w:themeColor="text1"/>
          <w:highlight w:val="none"/>
          <w:lang w:val="en-US"/>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综合上述分析，此项指标分值10分，实际得分10分。</w:t>
      </w:r>
    </w:p>
    <w:p w14:paraId="002D2129">
      <w:pPr>
        <w:pStyle w:val="4"/>
        <w:pageBreakBefore w:val="0"/>
        <w:widowControl w:val="0"/>
        <w:numPr>
          <w:ilvl w:val="0"/>
          <w:numId w:val="0"/>
        </w:numPr>
        <w:kinsoku/>
        <w:wordWrap/>
        <w:overflowPunct/>
        <w:topLinePunct w:val="0"/>
        <w:autoSpaceDE/>
        <w:autoSpaceDN/>
        <w:bidi w:val="0"/>
        <w:spacing w:line="560" w:lineRule="exact"/>
        <w:ind w:firstLine="643" w:firstLineChars="200"/>
        <w:textAlignment w:val="auto"/>
        <w:outlineLvl w:val="9"/>
        <w:rPr>
          <w:rFonts w:hint="default"/>
          <w:color w:val="auto"/>
          <w:lang w:val="en-US" w:eastAsia="zh-CN"/>
        </w:rPr>
      </w:pPr>
      <w:r>
        <w:rPr>
          <w:rFonts w:hint="eastAsia"/>
          <w:b/>
          <w:bCs/>
          <w:color w:val="auto"/>
          <w:szCs w:val="32"/>
          <w:lang w:val="en-US" w:eastAsia="zh-CN"/>
        </w:rPr>
        <w:t>②目标实现</w:t>
      </w:r>
    </w:p>
    <w:p w14:paraId="2FF790C2">
      <w:pPr>
        <w:pStyle w:val="4"/>
        <w:pageBreakBefore w:val="0"/>
        <w:wordWrap/>
        <w:overflowPunct/>
        <w:topLinePunct w:val="0"/>
        <w:bidi w:val="0"/>
        <w:spacing w:line="560" w:lineRule="exact"/>
        <w:rPr>
          <w:rFonts w:hint="eastAsia"/>
          <w:color w:val="000000" w:themeColor="text1"/>
          <w:highlight w:val="none"/>
          <w:lang w:val="en-US"/>
          <w14:textFill>
            <w14:solidFill>
              <w14:schemeClr w14:val="tx1"/>
            </w14:solidFill>
          </w14:textFill>
        </w:rPr>
      </w:pPr>
      <w:r>
        <w:rPr>
          <w:rFonts w:hint="eastAsia"/>
          <w:color w:val="000000" w:themeColor="text1"/>
          <w:highlight w:val="none"/>
          <w:lang w:val="en-US"/>
          <w14:textFill>
            <w14:solidFill>
              <w14:schemeClr w14:val="tx1"/>
            </w14:solidFill>
          </w14:textFill>
        </w:rPr>
        <w:t>评价组核查了</w:t>
      </w:r>
      <w:r>
        <w:rPr>
          <w:rFonts w:hint="eastAsia"/>
          <w:color w:val="000000" w:themeColor="text1"/>
          <w:highlight w:val="none"/>
          <w:lang w:val="en-US" w:eastAsia="zh-CN"/>
          <w14:textFill>
            <w14:solidFill>
              <w14:schemeClr w14:val="tx1"/>
            </w14:solidFill>
          </w14:textFill>
        </w:rPr>
        <w:t>11</w:t>
      </w:r>
      <w:r>
        <w:rPr>
          <w:rFonts w:hint="eastAsia"/>
          <w:color w:val="000000" w:themeColor="text1"/>
          <w:highlight w:val="none"/>
          <w:lang w:val="en-US"/>
          <w14:textFill>
            <w14:solidFill>
              <w14:schemeClr w14:val="tx1"/>
            </w14:solidFill>
          </w14:textFill>
        </w:rPr>
        <w:t>个项目共</w:t>
      </w:r>
      <w:r>
        <w:rPr>
          <w:rFonts w:hint="eastAsia"/>
          <w:color w:val="000000" w:themeColor="text1"/>
          <w:highlight w:val="none"/>
          <w:lang w:val="en-US" w:eastAsia="zh-CN"/>
          <w14:textFill>
            <w14:solidFill>
              <w14:schemeClr w14:val="tx1"/>
            </w14:solidFill>
          </w14:textFill>
        </w:rPr>
        <w:t>24</w:t>
      </w:r>
      <w:r>
        <w:rPr>
          <w:rFonts w:hint="eastAsia"/>
          <w:color w:val="000000" w:themeColor="text1"/>
          <w:highlight w:val="none"/>
          <w:lang w:val="en-US"/>
          <w14:textFill>
            <w14:solidFill>
              <w14:schemeClr w14:val="tx1"/>
            </w14:solidFill>
          </w14:textFill>
        </w:rPr>
        <w:t>个数量指标的完成情况，</w:t>
      </w:r>
      <w:r>
        <w:rPr>
          <w:rFonts w:hint="eastAsia"/>
          <w:color w:val="000000" w:themeColor="text1"/>
          <w:highlight w:val="none"/>
          <w:lang w:val="en-US" w:eastAsia="zh-CN"/>
          <w14:textFill>
            <w14:solidFill>
              <w14:schemeClr w14:val="tx1"/>
            </w14:solidFill>
          </w14:textFill>
        </w:rPr>
        <w:t>完成了11项工作任务包含的春节慰问24人、抽检5965批次、确保11辆电动车能正常运行等，24</w:t>
      </w:r>
      <w:r>
        <w:rPr>
          <w:rFonts w:hint="eastAsia"/>
          <w:color w:val="000000" w:themeColor="text1"/>
          <w:highlight w:val="none"/>
          <w:lang w:val="en-US"/>
          <w14:textFill>
            <w14:solidFill>
              <w14:schemeClr w14:val="tx1"/>
            </w14:solidFill>
          </w14:textFill>
        </w:rPr>
        <w:t>个数量指标实际完成数量情况达到预期目标。</w:t>
      </w:r>
    </w:p>
    <w:p w14:paraId="38896F4B">
      <w:pPr>
        <w:pStyle w:val="4"/>
        <w:pageBreakBefore w:val="0"/>
        <w:wordWrap/>
        <w:overflowPunct/>
        <w:topLinePunct w:val="0"/>
        <w:bidi w:val="0"/>
        <w:spacing w:line="560" w:lineRule="exact"/>
        <w:rPr>
          <w:rFonts w:hint="eastAsia"/>
          <w:color w:val="000000" w:themeColor="text1"/>
          <w:highlight w:val="yellow"/>
          <w:lang w:val="en-US"/>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综合上述分析，此项指标分值10分，实际得分10分。</w:t>
      </w:r>
    </w:p>
    <w:p w14:paraId="21042CCB">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b/>
          <w:bCs/>
          <w:color w:val="auto"/>
          <w:szCs w:val="32"/>
          <w:lang w:val="en-US" w:eastAsia="zh-CN"/>
        </w:rPr>
      </w:pPr>
      <w:r>
        <w:rPr>
          <w:rFonts w:hint="eastAsia"/>
          <w:b/>
          <w:bCs/>
          <w:color w:val="auto"/>
          <w:szCs w:val="32"/>
          <w:lang w:val="en-US" w:eastAsia="zh-CN"/>
        </w:rPr>
        <w:t>③编制准确</w:t>
      </w:r>
    </w:p>
    <w:p w14:paraId="5BE5D697">
      <w:pPr>
        <w:pStyle w:val="4"/>
        <w:pageBreakBefore w:val="0"/>
        <w:wordWrap/>
        <w:overflowPunct/>
        <w:topLinePunct w:val="0"/>
        <w:bidi w:val="0"/>
        <w:spacing w:line="560" w:lineRule="exact"/>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14:textFill>
            <w14:solidFill>
              <w14:schemeClr w14:val="tx1"/>
            </w14:solidFill>
          </w14:textFill>
        </w:rPr>
        <w:t>根据</w:t>
      </w:r>
      <w:r>
        <w:rPr>
          <w:rFonts w:hint="eastAsia"/>
          <w:color w:val="000000" w:themeColor="text1"/>
          <w:highlight w:val="none"/>
          <w:lang w:val="en-US" w:eastAsia="zh-CN"/>
          <w14:textFill>
            <w14:solidFill>
              <w14:schemeClr w14:val="tx1"/>
            </w14:solidFill>
          </w14:textFill>
        </w:rPr>
        <w:t>市场监督管理局分局</w:t>
      </w:r>
      <w:r>
        <w:rPr>
          <w:rFonts w:hint="eastAsia"/>
          <w:color w:val="000000" w:themeColor="text1"/>
          <w:highlight w:val="none"/>
          <w:lang w:val="en-US"/>
          <w14:textFill>
            <w14:solidFill>
              <w14:schemeClr w14:val="tx1"/>
            </w14:solidFill>
          </w14:textFill>
        </w:rPr>
        <w:t>202</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lang w:val="en-US"/>
          <w14:textFill>
            <w14:solidFill>
              <w14:schemeClr w14:val="tx1"/>
            </w14:solidFill>
          </w14:textFill>
        </w:rPr>
        <w:t>年预算、决算表</w:t>
      </w:r>
      <w:r>
        <w:rPr>
          <w:rFonts w:hint="eastAsia"/>
          <w:color w:val="000000" w:themeColor="text1"/>
          <w:highlight w:val="none"/>
          <w:lang w:val="en-US" w:eastAsia="zh-CN"/>
          <w14:textFill>
            <w14:solidFill>
              <w14:schemeClr w14:val="tx1"/>
            </w14:solidFill>
          </w14:textFill>
        </w:rPr>
        <w:t>及结算表</w:t>
      </w:r>
      <w:r>
        <w:rPr>
          <w:rFonts w:hint="eastAsia"/>
          <w:color w:val="000000" w:themeColor="text1"/>
          <w:highlight w:val="none"/>
          <w:lang w:val="en-US"/>
          <w14:textFill>
            <w14:solidFill>
              <w14:schemeClr w14:val="tx1"/>
            </w14:solidFill>
          </w14:textFill>
        </w:rPr>
        <w:t>，单位202</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lang w:val="en-US"/>
          <w14:textFill>
            <w14:solidFill>
              <w14:schemeClr w14:val="tx1"/>
            </w14:solidFill>
          </w14:textFill>
        </w:rPr>
        <w:t>年预算数为</w:t>
      </w:r>
      <w:r>
        <w:rPr>
          <w:rFonts w:hint="eastAsia"/>
          <w:color w:val="auto"/>
          <w:szCs w:val="32"/>
          <w:highlight w:val="none"/>
          <w:lang w:val="en-US" w:eastAsia="zh-CN"/>
        </w:rPr>
        <w:t>679.03</w:t>
      </w:r>
      <w:r>
        <w:rPr>
          <w:rFonts w:hint="eastAsia"/>
          <w:color w:val="000000" w:themeColor="text1"/>
          <w:highlight w:val="none"/>
          <w:lang w:val="en-US"/>
          <w14:textFill>
            <w14:solidFill>
              <w14:schemeClr w14:val="tx1"/>
            </w14:solidFill>
          </w14:textFill>
        </w:rPr>
        <w:t>万元，</w:t>
      </w:r>
      <w:r>
        <w:rPr>
          <w:rFonts w:hint="eastAsia"/>
          <w:color w:val="000000" w:themeColor="text1"/>
          <w:highlight w:val="none"/>
          <w:lang w:val="en-US" w:eastAsia="zh-CN"/>
          <w14:textFill>
            <w14:solidFill>
              <w14:schemeClr w14:val="tx1"/>
            </w14:solidFill>
          </w14:textFill>
        </w:rPr>
        <w:t>调整预算为</w:t>
      </w:r>
      <w:r>
        <w:rPr>
          <w:rFonts w:hint="eastAsia"/>
          <w:color w:val="auto"/>
          <w:szCs w:val="32"/>
          <w:highlight w:val="none"/>
          <w:lang w:val="en-US" w:eastAsia="zh-CN"/>
        </w:rPr>
        <w:t>582.83</w:t>
      </w:r>
      <w:r>
        <w:rPr>
          <w:rFonts w:hint="eastAsia"/>
          <w:color w:val="000000" w:themeColor="text1"/>
          <w:highlight w:val="none"/>
          <w:lang w:val="en-US" w:eastAsia="zh-CN"/>
          <w14:textFill>
            <w14:solidFill>
              <w14:schemeClr w14:val="tx1"/>
            </w14:solidFill>
          </w14:textFill>
        </w:rPr>
        <w:t>万元，</w:t>
      </w:r>
      <w:r>
        <w:rPr>
          <w:rFonts w:hint="eastAsia"/>
          <w:color w:val="000000" w:themeColor="text1"/>
          <w:highlight w:val="none"/>
          <w:lang w:val="en-US"/>
          <w14:textFill>
            <w14:solidFill>
              <w14:schemeClr w14:val="tx1"/>
            </w14:solidFill>
          </w14:textFill>
        </w:rPr>
        <w:t>支出决算数为</w:t>
      </w:r>
      <w:r>
        <w:rPr>
          <w:rFonts w:hint="eastAsia"/>
          <w:color w:val="auto"/>
          <w:szCs w:val="32"/>
          <w:highlight w:val="none"/>
          <w:lang w:val="en-US" w:eastAsia="zh-CN"/>
        </w:rPr>
        <w:t>582.83</w:t>
      </w:r>
      <w:r>
        <w:rPr>
          <w:rFonts w:hint="eastAsia"/>
          <w:color w:val="000000" w:themeColor="text1"/>
          <w:highlight w:val="none"/>
          <w:lang w:val="en-US"/>
          <w14:textFill>
            <w14:solidFill>
              <w14:schemeClr w14:val="tx1"/>
            </w14:solidFill>
          </w14:textFill>
        </w:rPr>
        <w:t>万元</w:t>
      </w:r>
      <w:r>
        <w:rPr>
          <w:rFonts w:hint="eastAsia"/>
          <w:color w:val="000000" w:themeColor="text1"/>
          <w:highlight w:val="none"/>
          <w:lang w:val="en-US" w:eastAsia="zh-CN"/>
          <w14:textFill>
            <w14:solidFill>
              <w14:schemeClr w14:val="tx1"/>
            </w14:solidFill>
          </w14:textFill>
        </w:rPr>
        <w:t>。</w:t>
      </w:r>
    </w:p>
    <w:p w14:paraId="70182853">
      <w:pPr>
        <w:pStyle w:val="4"/>
        <w:pageBreakBefore w:val="0"/>
        <w:wordWrap/>
        <w:overflowPunct/>
        <w:topLinePunct w:val="0"/>
        <w:bidi w:val="0"/>
        <w:spacing w:line="560" w:lineRule="exact"/>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根据评分公式，部门全年预算调剂金额/年初部门预算数=0.14&gt;0.1</w:t>
      </w:r>
    </w:p>
    <w:p w14:paraId="5D7B2C66">
      <w:pPr>
        <w:pStyle w:val="4"/>
        <w:pageBreakBefore w:val="0"/>
        <w:wordWrap/>
        <w:overflowPunct/>
        <w:topLinePunct w:val="0"/>
        <w:bidi w:val="0"/>
        <w:spacing w:line="560" w:lineRule="exact"/>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综合上述分析，此项指标分值10分，实际得分0分，扣分10分。</w:t>
      </w:r>
    </w:p>
    <w:p w14:paraId="458AAD76">
      <w:pPr>
        <w:pStyle w:val="4"/>
        <w:pageBreakBefore w:val="0"/>
        <w:widowControl w:val="0"/>
        <w:numPr>
          <w:ilvl w:val="0"/>
          <w:numId w:val="3"/>
        </w:numPr>
        <w:kinsoku/>
        <w:wordWrap/>
        <w:overflowPunct/>
        <w:topLinePunct w:val="0"/>
        <w:autoSpaceDE/>
        <w:autoSpaceDN/>
        <w:bidi w:val="0"/>
        <w:spacing w:line="560" w:lineRule="exact"/>
        <w:ind w:left="0" w:leftChars="0" w:firstLine="643" w:firstLineChars="200"/>
        <w:textAlignment w:val="auto"/>
        <w:outlineLvl w:val="2"/>
        <w:rPr>
          <w:rFonts w:hint="eastAsia"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预算执行</w:t>
      </w:r>
    </w:p>
    <w:p w14:paraId="1C8FB77B">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①支出控制</w:t>
      </w:r>
    </w:p>
    <w:p w14:paraId="08EB5579">
      <w:pPr>
        <w:pStyle w:val="4"/>
        <w:pageBreakBefore w:val="0"/>
        <w:wordWrap/>
        <w:overflowPunct/>
        <w:topLinePunct w:val="0"/>
        <w:bidi w:val="0"/>
        <w:spacing w:line="560" w:lineRule="exact"/>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14:textFill>
            <w14:solidFill>
              <w14:schemeClr w14:val="tx1"/>
            </w14:solidFill>
          </w14:textFill>
        </w:rPr>
        <w:t>日常公用经费及项目支出中“办公费、印刷费、水费、电费、物业管理费”等科目年初预算数为</w:t>
      </w:r>
      <w:r>
        <w:rPr>
          <w:rFonts w:hint="eastAsia"/>
          <w:color w:val="000000" w:themeColor="text1"/>
          <w:highlight w:val="none"/>
          <w:lang w:val="en-US" w:eastAsia="zh-CN"/>
          <w14:textFill>
            <w14:solidFill>
              <w14:schemeClr w14:val="tx1"/>
            </w14:solidFill>
          </w14:textFill>
        </w:rPr>
        <w:t>86.85</w:t>
      </w:r>
      <w:r>
        <w:rPr>
          <w:rFonts w:hint="eastAsia"/>
          <w:color w:val="000000" w:themeColor="text1"/>
          <w:highlight w:val="none"/>
          <w:lang w:val="en-US"/>
          <w14:textFill>
            <w14:solidFill>
              <w14:schemeClr w14:val="tx1"/>
            </w14:solidFill>
          </w14:textFill>
        </w:rPr>
        <w:t>万元，决算数为</w:t>
      </w:r>
      <w:r>
        <w:rPr>
          <w:rFonts w:hint="eastAsia"/>
          <w:color w:val="000000" w:themeColor="text1"/>
          <w:highlight w:val="none"/>
          <w:lang w:val="en-US" w:eastAsia="zh-CN"/>
          <w14:textFill>
            <w14:solidFill>
              <w14:schemeClr w14:val="tx1"/>
            </w14:solidFill>
          </w14:textFill>
        </w:rPr>
        <w:t>69.63</w:t>
      </w:r>
      <w:r>
        <w:rPr>
          <w:rFonts w:hint="eastAsia"/>
          <w:color w:val="000000" w:themeColor="text1"/>
          <w:highlight w:val="none"/>
          <w:lang w:val="en-US"/>
          <w14:textFill>
            <w14:solidFill>
              <w14:schemeClr w14:val="tx1"/>
            </w14:solidFill>
          </w14:textFill>
        </w:rPr>
        <w:t>万元，预决算偏差程度为</w:t>
      </w:r>
      <w:r>
        <w:rPr>
          <w:rFonts w:hint="eastAsia"/>
          <w:color w:val="000000" w:themeColor="text1"/>
          <w:highlight w:val="none"/>
          <w:lang w:val="en-US" w:eastAsia="zh-CN"/>
          <w14:textFill>
            <w14:solidFill>
              <w14:schemeClr w14:val="tx1"/>
            </w14:solidFill>
          </w14:textFill>
        </w:rPr>
        <w:t>19.83</w:t>
      </w:r>
      <w:r>
        <w:rPr>
          <w:rFonts w:hint="eastAsia"/>
          <w:color w:val="000000" w:themeColor="text1"/>
          <w:highlight w:val="none"/>
          <w:lang w:val="en-US"/>
          <w14:textFill>
            <w14:solidFill>
              <w14:schemeClr w14:val="tx1"/>
            </w14:solidFill>
          </w14:textFill>
        </w:rPr>
        <w:t>%，偏差度在10%-20%之间的</w:t>
      </w:r>
      <w:r>
        <w:rPr>
          <w:rFonts w:hint="eastAsia"/>
          <w:color w:val="000000" w:themeColor="text1"/>
          <w:highlight w:val="none"/>
          <w:lang w:val="en-US" w:eastAsia="zh-CN"/>
          <w14:textFill>
            <w14:solidFill>
              <w14:schemeClr w14:val="tx1"/>
            </w14:solidFill>
          </w14:textFill>
        </w:rPr>
        <w:t>，编制准确性有待提高。</w:t>
      </w:r>
    </w:p>
    <w:p w14:paraId="31DD0891">
      <w:pPr>
        <w:pStyle w:val="4"/>
        <w:pageBreakBefore w:val="0"/>
        <w:wordWrap/>
        <w:overflowPunct/>
        <w:topLinePunct w:val="0"/>
        <w:bidi w:val="0"/>
        <w:spacing w:line="560" w:lineRule="exact"/>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综合上述分析，此项指标分值10分，实际得分5分，扣分5分。</w:t>
      </w:r>
    </w:p>
    <w:p w14:paraId="1A748C36">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②动态调整</w:t>
      </w:r>
    </w:p>
    <w:p w14:paraId="615DE0D2">
      <w:pPr>
        <w:pStyle w:val="4"/>
        <w:pageBreakBefore w:val="0"/>
        <w:wordWrap/>
        <w:overflowPunct/>
        <w:topLinePunct w:val="0"/>
        <w:bidi w:val="0"/>
        <w:spacing w:line="560" w:lineRule="exact"/>
        <w:rPr>
          <w:rFonts w:hint="eastAsia"/>
          <w:highlight w:val="none"/>
        </w:rPr>
      </w:pPr>
      <w:r>
        <w:rPr>
          <w:rFonts w:hint="eastAsia"/>
          <w:highlight w:val="none"/>
        </w:rPr>
        <w:t>根据部门项目绩效监控分析表及相关数据知，</w:t>
      </w:r>
      <w:r>
        <w:rPr>
          <w:rFonts w:hint="eastAsia"/>
          <w:highlight w:val="none"/>
          <w:lang w:val="en-US" w:eastAsia="zh-CN"/>
        </w:rPr>
        <w:t>市场监督管理局分局</w:t>
      </w:r>
      <w:r>
        <w:rPr>
          <w:rFonts w:hint="eastAsia"/>
          <w:highlight w:val="none"/>
        </w:rPr>
        <w:t>开展绩效运行监控后，无相应调整取消额，无结余注销额，绩效监控结果应用情况良好。</w:t>
      </w:r>
    </w:p>
    <w:p w14:paraId="206FD5E4">
      <w:pPr>
        <w:pStyle w:val="4"/>
        <w:pageBreakBefore w:val="0"/>
        <w:wordWrap/>
        <w:overflowPunct/>
        <w:topLinePunct w:val="0"/>
        <w:bidi w:val="0"/>
        <w:spacing w:line="560" w:lineRule="exact"/>
        <w:rPr>
          <w:rFonts w:hint="eastAsia"/>
          <w:highlight w:val="none"/>
          <w:lang w:val="en-US" w:eastAsia="zh-CN"/>
        </w:rPr>
      </w:pPr>
      <w:r>
        <w:rPr>
          <w:rFonts w:hint="eastAsia"/>
          <w:color w:val="000000" w:themeColor="text1"/>
          <w:highlight w:val="none"/>
          <w:lang w:val="en-US" w:eastAsia="zh-CN"/>
          <w14:textFill>
            <w14:solidFill>
              <w14:schemeClr w14:val="tx1"/>
            </w14:solidFill>
          </w14:textFill>
        </w:rPr>
        <w:t>综合上述分析，此项指标分值10分，实际得分10分。</w:t>
      </w:r>
    </w:p>
    <w:p w14:paraId="4BBEC513">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③执行进度</w:t>
      </w:r>
    </w:p>
    <w:p w14:paraId="2FA40BD4">
      <w:pPr>
        <w:pStyle w:val="4"/>
        <w:pageBreakBefore w:val="0"/>
        <w:wordWrap/>
        <w:overflowPunct/>
        <w:topLinePunct w:val="0"/>
        <w:bidi w:val="0"/>
        <w:spacing w:line="560" w:lineRule="exact"/>
        <w:rPr>
          <w:rFonts w:hint="eastAsia"/>
          <w:highlight w:val="none"/>
        </w:rPr>
      </w:pPr>
      <w:r>
        <w:rPr>
          <w:rFonts w:hint="eastAsia"/>
          <w:highlight w:val="none"/>
        </w:rPr>
        <w:t>在</w:t>
      </w:r>
      <w:r>
        <w:rPr>
          <w:rFonts w:hint="eastAsia"/>
          <w:highlight w:val="none"/>
          <w:lang w:val="en-US"/>
        </w:rPr>
        <w:t>202</w:t>
      </w:r>
      <w:r>
        <w:rPr>
          <w:rFonts w:hint="eastAsia"/>
          <w:highlight w:val="none"/>
          <w:lang w:val="en-US" w:eastAsia="zh-CN"/>
        </w:rPr>
        <w:t>1</w:t>
      </w:r>
      <w:r>
        <w:rPr>
          <w:rFonts w:hint="eastAsia"/>
          <w:highlight w:val="none"/>
          <w:lang w:val="en-US"/>
        </w:rPr>
        <w:t>年6月</w:t>
      </w:r>
      <w:r>
        <w:rPr>
          <w:rFonts w:hint="eastAsia"/>
          <w:highlight w:val="none"/>
          <w:lang w:val="en-US" w:eastAsia="zh-CN"/>
        </w:rPr>
        <w:t>、</w:t>
      </w:r>
      <w:r>
        <w:rPr>
          <w:rFonts w:hint="eastAsia"/>
          <w:highlight w:val="none"/>
          <w:lang w:val="en-US"/>
        </w:rPr>
        <w:t>9</w:t>
      </w:r>
      <w:r>
        <w:rPr>
          <w:rFonts w:hint="eastAsia"/>
          <w:highlight w:val="none"/>
        </w:rPr>
        <w:t>月</w:t>
      </w:r>
      <w:r>
        <w:rPr>
          <w:rFonts w:hint="eastAsia"/>
          <w:highlight w:val="none"/>
          <w:lang w:eastAsia="zh-CN"/>
        </w:rPr>
        <w:t>、</w:t>
      </w:r>
      <w:r>
        <w:rPr>
          <w:rFonts w:hint="eastAsia"/>
          <w:highlight w:val="none"/>
          <w:lang w:val="en-US" w:eastAsia="zh-CN"/>
        </w:rPr>
        <w:t>10月预算执行进度分别</w:t>
      </w:r>
      <w:r>
        <w:rPr>
          <w:highlight w:val="none"/>
        </w:rPr>
        <w:t>为</w:t>
      </w:r>
      <w:r>
        <w:rPr>
          <w:rFonts w:hint="eastAsia"/>
          <w:highlight w:val="none"/>
          <w:lang w:val="en-US" w:eastAsia="zh-CN"/>
        </w:rPr>
        <w:t>26.85%、43.17%</w:t>
      </w:r>
      <w:r>
        <w:rPr>
          <w:rFonts w:hint="eastAsia"/>
          <w:highlight w:val="none"/>
          <w:lang w:eastAsia="zh-CN"/>
        </w:rPr>
        <w:t>、</w:t>
      </w:r>
      <w:r>
        <w:rPr>
          <w:rFonts w:hint="eastAsia"/>
          <w:highlight w:val="none"/>
          <w:lang w:val="en-US" w:eastAsia="zh-CN"/>
        </w:rPr>
        <w:t>67.31%</w:t>
      </w:r>
      <w:r>
        <w:rPr>
          <w:rFonts w:hint="eastAsia"/>
          <w:highlight w:val="none"/>
          <w:lang w:eastAsia="zh-CN"/>
        </w:rPr>
        <w:t>（</w:t>
      </w:r>
      <w:r>
        <w:rPr>
          <w:rFonts w:hint="eastAsia"/>
          <w:highlight w:val="none"/>
        </w:rPr>
        <w:t>实际支出</w:t>
      </w:r>
      <w:r>
        <w:rPr>
          <w:rFonts w:hint="eastAsia"/>
          <w:highlight w:val="none"/>
          <w:lang w:val="en-US"/>
        </w:rPr>
        <w:t>金额</w:t>
      </w:r>
      <w:r>
        <w:rPr>
          <w:rFonts w:hint="eastAsia"/>
          <w:highlight w:val="none"/>
          <w:lang w:val="en-US" w:eastAsia="zh-CN"/>
        </w:rPr>
        <w:t>分别</w:t>
      </w:r>
      <w:r>
        <w:rPr>
          <w:rFonts w:hint="eastAsia"/>
          <w:highlight w:val="none"/>
        </w:rPr>
        <w:t>为</w:t>
      </w:r>
      <w:r>
        <w:rPr>
          <w:rFonts w:hint="eastAsia"/>
          <w:highlight w:val="none"/>
          <w:lang w:val="en-US" w:eastAsia="zh-CN"/>
        </w:rPr>
        <w:t>184.36</w:t>
      </w:r>
      <w:r>
        <w:rPr>
          <w:rFonts w:hint="eastAsia"/>
          <w:highlight w:val="none"/>
        </w:rPr>
        <w:t>万元</w:t>
      </w:r>
      <w:r>
        <w:rPr>
          <w:rFonts w:hint="eastAsia"/>
          <w:highlight w:val="none"/>
          <w:lang w:eastAsia="zh-CN"/>
        </w:rPr>
        <w:t>、</w:t>
      </w:r>
      <w:r>
        <w:rPr>
          <w:rFonts w:hint="eastAsia"/>
          <w:highlight w:val="none"/>
          <w:lang w:val="en-US" w:eastAsia="zh-CN"/>
        </w:rPr>
        <w:t>317.68万元、392.13万元</w:t>
      </w:r>
      <w:r>
        <w:rPr>
          <w:rFonts w:hint="eastAsia"/>
          <w:highlight w:val="none"/>
          <w:lang w:eastAsia="zh-CN"/>
        </w:rPr>
        <w:t>），</w:t>
      </w:r>
      <w:r>
        <w:rPr>
          <w:rFonts w:hint="eastAsia"/>
          <w:highlight w:val="none"/>
          <w:lang w:val="en-US" w:eastAsia="zh-CN"/>
        </w:rPr>
        <w:t>未分别达到</w:t>
      </w:r>
      <w:r>
        <w:rPr>
          <w:rFonts w:hint="eastAsia"/>
          <w:highlight w:val="none"/>
        </w:rPr>
        <w:t>40%</w:t>
      </w:r>
      <w:r>
        <w:rPr>
          <w:rFonts w:hint="eastAsia"/>
          <w:highlight w:val="none"/>
          <w:lang w:eastAsia="zh-CN"/>
        </w:rPr>
        <w:t>、</w:t>
      </w:r>
      <w:r>
        <w:rPr>
          <w:rFonts w:hint="eastAsia"/>
          <w:highlight w:val="none"/>
          <w:lang w:val="en-US" w:eastAsia="zh-CN"/>
        </w:rPr>
        <w:t>67.5%、</w:t>
      </w:r>
      <w:r>
        <w:rPr>
          <w:rFonts w:hint="eastAsia"/>
          <w:highlight w:val="none"/>
        </w:rPr>
        <w:t>82.5%</w:t>
      </w:r>
      <w:r>
        <w:rPr>
          <w:rFonts w:hint="eastAsia"/>
          <w:highlight w:val="none"/>
          <w:lang w:val="en-US" w:eastAsia="zh-CN"/>
        </w:rPr>
        <w:t>预算执行进度，</w:t>
      </w:r>
      <w:r>
        <w:rPr>
          <w:rFonts w:hint="eastAsia"/>
          <w:highlight w:val="none"/>
          <w:lang w:val="en-US"/>
        </w:rPr>
        <w:t>预算</w:t>
      </w:r>
      <w:r>
        <w:rPr>
          <w:rFonts w:hint="eastAsia"/>
          <w:highlight w:val="none"/>
        </w:rPr>
        <w:t>执行进度完成情况</w:t>
      </w:r>
      <w:r>
        <w:rPr>
          <w:rFonts w:hint="eastAsia"/>
          <w:highlight w:val="none"/>
          <w:lang w:val="en-US" w:eastAsia="zh-CN"/>
        </w:rPr>
        <w:t>有待提升</w:t>
      </w:r>
      <w:r>
        <w:rPr>
          <w:rFonts w:hint="eastAsia"/>
          <w:highlight w:val="none"/>
        </w:rPr>
        <w:t>。</w:t>
      </w:r>
    </w:p>
    <w:p w14:paraId="7DE5B702">
      <w:pPr>
        <w:pStyle w:val="4"/>
        <w:pageBreakBefore w:val="0"/>
        <w:wordWrap/>
        <w:overflowPunct/>
        <w:topLinePunct w:val="0"/>
        <w:bidi w:val="0"/>
        <w:spacing w:line="560" w:lineRule="exact"/>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综合上述分析，此项指标分值10分，实际得分0分，扣分10分。</w:t>
      </w:r>
    </w:p>
    <w:p w14:paraId="04EA9213">
      <w:pPr>
        <w:pStyle w:val="4"/>
        <w:pageBreakBefore w:val="0"/>
        <w:widowControl w:val="0"/>
        <w:numPr>
          <w:ilvl w:val="0"/>
          <w:numId w:val="3"/>
        </w:numPr>
        <w:kinsoku/>
        <w:wordWrap/>
        <w:overflowPunct/>
        <w:topLinePunct w:val="0"/>
        <w:autoSpaceDE/>
        <w:autoSpaceDN/>
        <w:bidi w:val="0"/>
        <w:spacing w:line="560" w:lineRule="exact"/>
        <w:ind w:left="0" w:leftChars="0" w:firstLine="643" w:firstLineChars="200"/>
        <w:textAlignment w:val="auto"/>
        <w:outlineLvl w:val="2"/>
        <w:rPr>
          <w:rFonts w:hint="default"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完成结果</w:t>
      </w:r>
    </w:p>
    <w:p w14:paraId="73313088">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①预算完成</w:t>
      </w:r>
    </w:p>
    <w:p w14:paraId="3E0158FB">
      <w:pPr>
        <w:pStyle w:val="4"/>
        <w:pageBreakBefore w:val="0"/>
        <w:wordWrap/>
        <w:overflowPunct/>
        <w:topLinePunct w:val="0"/>
        <w:bidi w:val="0"/>
        <w:spacing w:line="560" w:lineRule="exact"/>
        <w:rPr>
          <w:rFonts w:hint="eastAsia" w:ascii="Times New Roman" w:hAnsi="Times New Roman" w:eastAsia="仿宋_GB2312" w:cs="Times New Roman"/>
          <w:kern w:val="0"/>
          <w:sz w:val="32"/>
          <w:szCs w:val="32"/>
          <w:highlight w:val="none"/>
        </w:rPr>
      </w:pPr>
      <w:r>
        <w:rPr>
          <w:rFonts w:hint="eastAsia" w:ascii="Times New Roman" w:hAnsi="Times New Roman" w:eastAsia="仿宋_GB2312" w:cs="Times New Roman"/>
          <w:kern w:val="0"/>
          <w:sz w:val="32"/>
          <w:szCs w:val="32"/>
          <w:highlight w:val="none"/>
        </w:rPr>
        <w:t>202</w:t>
      </w:r>
      <w:r>
        <w:rPr>
          <w:rFonts w:hint="eastAsia" w:ascii="Times New Roman" w:hAnsi="Times New Roman" w:eastAsia="仿宋_GB2312" w:cs="Times New Roman"/>
          <w:kern w:val="0"/>
          <w:sz w:val="32"/>
          <w:szCs w:val="32"/>
          <w:highlight w:val="none"/>
          <w:lang w:val="en-US" w:eastAsia="zh-CN"/>
        </w:rPr>
        <w:t>1</w:t>
      </w:r>
      <w:r>
        <w:rPr>
          <w:rFonts w:hint="eastAsia" w:ascii="Times New Roman" w:hAnsi="Times New Roman" w:eastAsia="仿宋_GB2312" w:cs="Times New Roman"/>
          <w:kern w:val="0"/>
          <w:sz w:val="32"/>
          <w:szCs w:val="32"/>
          <w:highlight w:val="none"/>
        </w:rPr>
        <w:t>年部门</w:t>
      </w:r>
      <w:r>
        <w:rPr>
          <w:rFonts w:hint="eastAsia" w:ascii="Times New Roman" w:hAnsi="Times New Roman" w:eastAsia="仿宋_GB2312" w:cs="Times New Roman"/>
          <w:kern w:val="0"/>
          <w:sz w:val="32"/>
          <w:szCs w:val="32"/>
          <w:highlight w:val="none"/>
          <w:lang w:val="en-US" w:eastAsia="zh-CN"/>
        </w:rPr>
        <w:t>调整</w:t>
      </w:r>
      <w:r>
        <w:rPr>
          <w:rFonts w:hint="eastAsia" w:ascii="Times New Roman" w:hAnsi="Times New Roman" w:eastAsia="仿宋_GB2312" w:cs="Times New Roman"/>
          <w:kern w:val="0"/>
          <w:sz w:val="32"/>
          <w:szCs w:val="32"/>
          <w:highlight w:val="none"/>
        </w:rPr>
        <w:t>预算</w:t>
      </w:r>
      <w:r>
        <w:rPr>
          <w:rFonts w:hint="eastAsia" w:ascii="Times New Roman" w:hAnsi="Times New Roman" w:eastAsia="仿宋_GB2312" w:cs="Times New Roman"/>
          <w:kern w:val="0"/>
          <w:sz w:val="32"/>
          <w:szCs w:val="32"/>
          <w:highlight w:val="none"/>
          <w:lang w:val="en-US" w:eastAsia="zh-CN"/>
        </w:rPr>
        <w:t>为</w:t>
      </w:r>
      <w:r>
        <w:rPr>
          <w:rFonts w:hint="eastAsia"/>
          <w:color w:val="auto"/>
          <w:szCs w:val="32"/>
          <w:highlight w:val="none"/>
          <w:lang w:val="en-US" w:eastAsia="zh-CN"/>
        </w:rPr>
        <w:t>582.83</w:t>
      </w:r>
      <w:r>
        <w:rPr>
          <w:rFonts w:hint="eastAsia"/>
          <w:color w:val="000000" w:themeColor="text1"/>
          <w:highlight w:val="none"/>
          <w:lang w:val="en-US" w:eastAsia="zh-CN"/>
          <w14:textFill>
            <w14:solidFill>
              <w14:schemeClr w14:val="tx1"/>
            </w14:solidFill>
          </w14:textFill>
        </w:rPr>
        <w:t>万元，</w:t>
      </w:r>
      <w:r>
        <w:rPr>
          <w:rFonts w:hint="eastAsia"/>
          <w:color w:val="000000" w:themeColor="text1"/>
          <w:highlight w:val="none"/>
          <w:lang w:val="en-US"/>
          <w14:textFill>
            <w14:solidFill>
              <w14:schemeClr w14:val="tx1"/>
            </w14:solidFill>
          </w14:textFill>
        </w:rPr>
        <w:t>支出决算数为</w:t>
      </w:r>
      <w:r>
        <w:rPr>
          <w:rFonts w:hint="eastAsia"/>
          <w:color w:val="auto"/>
          <w:szCs w:val="32"/>
          <w:highlight w:val="none"/>
          <w:lang w:val="en-US" w:eastAsia="zh-CN"/>
        </w:rPr>
        <w:t>582.83</w:t>
      </w:r>
      <w:r>
        <w:rPr>
          <w:rFonts w:hint="eastAsia"/>
          <w:color w:val="000000" w:themeColor="text1"/>
          <w:highlight w:val="none"/>
          <w:lang w:val="en-US"/>
          <w14:textFill>
            <w14:solidFill>
              <w14:schemeClr w14:val="tx1"/>
            </w14:solidFill>
          </w14:textFill>
        </w:rPr>
        <w:t>万元</w:t>
      </w:r>
      <w:r>
        <w:rPr>
          <w:rFonts w:hint="eastAsia" w:ascii="Times New Roman" w:hAnsi="Times New Roman" w:eastAsia="仿宋_GB2312" w:cs="Times New Roman"/>
          <w:kern w:val="0"/>
          <w:sz w:val="32"/>
          <w:szCs w:val="32"/>
          <w:highlight w:val="none"/>
        </w:rPr>
        <w:t>，部门整体实际预算执行率为</w:t>
      </w:r>
      <w:r>
        <w:rPr>
          <w:rFonts w:hint="eastAsia" w:eastAsia="仿宋"/>
          <w:color w:val="auto"/>
          <w:sz w:val="32"/>
          <w:szCs w:val="32"/>
          <w:highlight w:val="none"/>
          <w:lang w:val="en-US" w:eastAsia="zh-CN"/>
        </w:rPr>
        <w:t>100</w:t>
      </w:r>
      <w:r>
        <w:rPr>
          <w:rFonts w:hint="eastAsia" w:ascii="Times New Roman" w:hAnsi="Times New Roman" w:eastAsia="仿宋"/>
          <w:color w:val="auto"/>
          <w:sz w:val="32"/>
          <w:szCs w:val="32"/>
          <w:highlight w:val="none"/>
          <w:lang w:val="en-US" w:eastAsia="zh-CN"/>
        </w:rPr>
        <w:t>%</w:t>
      </w:r>
      <w:r>
        <w:rPr>
          <w:rFonts w:hint="eastAsia" w:ascii="Times New Roman" w:hAnsi="Times New Roman" w:eastAsia="仿宋_GB2312" w:cs="Times New Roman"/>
          <w:kern w:val="0"/>
          <w:sz w:val="32"/>
          <w:szCs w:val="32"/>
          <w:highlight w:val="none"/>
        </w:rPr>
        <w:t>，预算完成情况</w:t>
      </w:r>
      <w:r>
        <w:rPr>
          <w:rFonts w:hint="eastAsia" w:cs="Times New Roman"/>
          <w:kern w:val="0"/>
          <w:sz w:val="32"/>
          <w:szCs w:val="32"/>
          <w:highlight w:val="none"/>
          <w:lang w:val="en-US" w:eastAsia="zh-CN"/>
        </w:rPr>
        <w:t>好</w:t>
      </w:r>
      <w:r>
        <w:rPr>
          <w:rFonts w:hint="eastAsia" w:ascii="Times New Roman" w:hAnsi="Times New Roman" w:eastAsia="仿宋_GB2312" w:cs="Times New Roman"/>
          <w:kern w:val="0"/>
          <w:sz w:val="32"/>
          <w:szCs w:val="32"/>
          <w:highlight w:val="none"/>
        </w:rPr>
        <w:t>。</w:t>
      </w:r>
    </w:p>
    <w:p w14:paraId="5F1DA5DB">
      <w:pPr>
        <w:pStyle w:val="4"/>
        <w:pageBreakBefore w:val="0"/>
        <w:wordWrap/>
        <w:overflowPunct/>
        <w:topLinePunct w:val="0"/>
        <w:bidi w:val="0"/>
        <w:spacing w:line="560" w:lineRule="exact"/>
        <w:rPr>
          <w:rFonts w:hint="eastAsia" w:ascii="Times New Roman" w:hAnsi="Times New Roman" w:eastAsia="仿宋_GB2312" w:cs="Times New Roman"/>
          <w:kern w:val="0"/>
          <w:sz w:val="32"/>
          <w:szCs w:val="32"/>
          <w:highlight w:val="none"/>
        </w:rPr>
      </w:pPr>
      <w:r>
        <w:rPr>
          <w:rFonts w:hint="eastAsia"/>
          <w:color w:val="000000" w:themeColor="text1"/>
          <w:highlight w:val="none"/>
          <w:lang w:val="en-US" w:eastAsia="zh-CN"/>
          <w14:textFill>
            <w14:solidFill>
              <w14:schemeClr w14:val="tx1"/>
            </w14:solidFill>
          </w14:textFill>
        </w:rPr>
        <w:t>综合上述分析，此项指标分值10分，实际得分10分。</w:t>
      </w:r>
    </w:p>
    <w:p w14:paraId="379AB01B">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②违规记录</w:t>
      </w:r>
    </w:p>
    <w:p w14:paraId="4AABDA48">
      <w:pPr>
        <w:pageBreakBefore w:val="0"/>
        <w:wordWrap/>
        <w:overflowPunct/>
        <w:topLinePunct w:val="0"/>
        <w:autoSpaceDE w:val="0"/>
        <w:autoSpaceDN w:val="0"/>
        <w:bidi w:val="0"/>
        <w:adjustRightInd w:val="0"/>
        <w:spacing w:line="560" w:lineRule="exact"/>
        <w:ind w:firstLine="640" w:firstLineChars="200"/>
        <w:jc w:val="left"/>
        <w:rPr>
          <w:rFonts w:hint="eastAsia" w:ascii="Times New Roman" w:hAnsi="Times New Roman" w:eastAsia="仿宋_GB2312" w:cs="Times New Roman"/>
          <w:kern w:val="0"/>
          <w:sz w:val="32"/>
          <w:szCs w:val="32"/>
          <w:highlight w:val="none"/>
        </w:rPr>
      </w:pPr>
      <w:r>
        <w:rPr>
          <w:rFonts w:hint="eastAsia" w:ascii="Times New Roman" w:hAnsi="Times New Roman" w:eastAsia="仿宋_GB2312" w:cs="Times New Roman"/>
          <w:kern w:val="0"/>
          <w:sz w:val="32"/>
          <w:szCs w:val="32"/>
          <w:highlight w:val="none"/>
          <w:lang w:val="en-US" w:eastAsia="zh-CN"/>
        </w:rPr>
        <w:t>2021年，单位未接受</w:t>
      </w:r>
      <w:r>
        <w:rPr>
          <w:rFonts w:hint="eastAsia" w:ascii="Times New Roman" w:hAnsi="Times New Roman" w:eastAsia="仿宋_GB2312" w:cs="Times New Roman"/>
          <w:kern w:val="0"/>
          <w:sz w:val="32"/>
          <w:szCs w:val="32"/>
          <w:highlight w:val="none"/>
        </w:rPr>
        <w:t>审计监督、财政检查，不存在部门预算管理方面违纪违规问题。</w:t>
      </w:r>
    </w:p>
    <w:p w14:paraId="78C59310">
      <w:pPr>
        <w:pStyle w:val="4"/>
        <w:pageBreakBefore w:val="0"/>
        <w:wordWrap/>
        <w:overflowPunct/>
        <w:topLinePunct w:val="0"/>
        <w:bidi w:val="0"/>
        <w:spacing w:line="560" w:lineRule="exact"/>
        <w:rPr>
          <w:rFonts w:hint="eastAsia"/>
        </w:rPr>
      </w:pPr>
      <w:r>
        <w:rPr>
          <w:rFonts w:hint="eastAsia"/>
          <w:color w:val="000000" w:themeColor="text1"/>
          <w:highlight w:val="none"/>
          <w:lang w:val="en-US" w:eastAsia="zh-CN"/>
          <w14:textFill>
            <w14:solidFill>
              <w14:schemeClr w14:val="tx1"/>
            </w14:solidFill>
          </w14:textFill>
        </w:rPr>
        <w:t>综合上述分析，此项指标分值10分，实际得分10分。</w:t>
      </w:r>
    </w:p>
    <w:p w14:paraId="633E110A">
      <w:pPr>
        <w:pStyle w:val="4"/>
        <w:pageBreakBefore w:val="0"/>
        <w:widowControl w:val="0"/>
        <w:numPr>
          <w:ilvl w:val="-1"/>
          <w:numId w:val="0"/>
        </w:numPr>
        <w:kinsoku/>
        <w:wordWrap/>
        <w:overflowPunct/>
        <w:topLinePunct w:val="0"/>
        <w:autoSpaceDE/>
        <w:autoSpaceDN/>
        <w:bidi w:val="0"/>
        <w:spacing w:line="560" w:lineRule="exact"/>
        <w:ind w:left="0" w:leftChars="0" w:firstLine="643" w:firstLineChars="200"/>
        <w:textAlignment w:val="auto"/>
        <w:outlineLvl w:val="2"/>
        <w:rPr>
          <w:rFonts w:hint="default"/>
          <w:lang w:val="en-US" w:eastAsia="zh-CN"/>
        </w:rPr>
      </w:pPr>
      <w:r>
        <w:rPr>
          <w:rFonts w:hint="eastAsia" w:ascii="仿宋" w:hAnsi="仿宋" w:eastAsia="仿宋" w:cs="仿宋"/>
          <w:b/>
          <w:color w:val="auto"/>
          <w:kern w:val="2"/>
          <w:sz w:val="32"/>
          <w:szCs w:val="32"/>
          <w:lang w:val="en-US" w:eastAsia="zh-CN" w:bidi="ar-SA"/>
        </w:rPr>
        <w:t>2.绩效结果应用</w:t>
      </w:r>
    </w:p>
    <w:p w14:paraId="20172B40">
      <w:pPr>
        <w:pStyle w:val="4"/>
        <w:pageBreakBefore w:val="0"/>
        <w:widowControl w:val="0"/>
        <w:numPr>
          <w:ilvl w:val="0"/>
          <w:numId w:val="0"/>
        </w:numPr>
        <w:kinsoku/>
        <w:wordWrap/>
        <w:overflowPunct/>
        <w:topLinePunct w:val="0"/>
        <w:autoSpaceDE/>
        <w:autoSpaceDN/>
        <w:bidi w:val="0"/>
        <w:spacing w:line="560" w:lineRule="exact"/>
        <w:ind w:leftChars="200"/>
        <w:textAlignment w:val="auto"/>
        <w:outlineLvl w:val="2"/>
        <w:rPr>
          <w:rFonts w:hint="default"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（1）信息公开</w:t>
      </w:r>
    </w:p>
    <w:p w14:paraId="649FBE07">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①自评公开</w:t>
      </w:r>
    </w:p>
    <w:p w14:paraId="7AB5FC52">
      <w:pPr>
        <w:pStyle w:val="4"/>
        <w:pageBreakBefore w:val="0"/>
        <w:wordWrap/>
        <w:overflowPunct/>
        <w:topLinePunct w:val="0"/>
        <w:bidi w:val="0"/>
        <w:spacing w:line="560" w:lineRule="exact"/>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市场监督管理局分局</w:t>
      </w:r>
      <w:r>
        <w:rPr>
          <w:color w:val="000000" w:themeColor="text1"/>
          <w:highlight w:val="none"/>
          <w14:textFill>
            <w14:solidFill>
              <w14:schemeClr w14:val="tx1"/>
            </w14:solidFill>
          </w14:textFill>
        </w:rPr>
        <w:t>20</w:t>
      </w:r>
      <w:r>
        <w:rPr>
          <w:rFonts w:hint="eastAsia"/>
          <w:color w:val="000000" w:themeColor="text1"/>
          <w:highlight w:val="none"/>
          <w:lang w:val="en-US" w:eastAsia="zh-CN"/>
          <w14:textFill>
            <w14:solidFill>
              <w14:schemeClr w14:val="tx1"/>
            </w14:solidFill>
          </w14:textFill>
        </w:rPr>
        <w:t>21</w:t>
      </w:r>
      <w:r>
        <w:rPr>
          <w:color w:val="000000" w:themeColor="text1"/>
          <w:highlight w:val="none"/>
          <w14:textFill>
            <w14:solidFill>
              <w14:schemeClr w14:val="tx1"/>
            </w14:solidFill>
          </w14:textFill>
        </w:rPr>
        <w:t>年预算编制说明和</w:t>
      </w:r>
      <w:r>
        <w:rPr>
          <w:rFonts w:hint="eastAsia"/>
          <w:color w:val="000000" w:themeColor="text1"/>
          <w:highlight w:val="none"/>
          <w14:textFill>
            <w14:solidFill>
              <w14:schemeClr w14:val="tx1"/>
            </w14:solidFill>
          </w14:textFill>
        </w:rPr>
        <w:t>附件</w:t>
      </w:r>
      <w:r>
        <w:rPr>
          <w:color w:val="000000" w:themeColor="text1"/>
          <w:highlight w:val="none"/>
          <w14:textFill>
            <w14:solidFill>
              <w14:schemeClr w14:val="tx1"/>
            </w14:solidFill>
          </w14:textFill>
        </w:rPr>
        <w:t>、20</w:t>
      </w:r>
      <w:r>
        <w:rPr>
          <w:rFonts w:hint="eastAsia"/>
          <w:color w:val="000000" w:themeColor="text1"/>
          <w:highlight w:val="none"/>
          <w:lang w:val="en-US" w:eastAsia="zh-CN"/>
          <w14:textFill>
            <w14:solidFill>
              <w14:schemeClr w14:val="tx1"/>
            </w14:solidFill>
          </w14:textFill>
        </w:rPr>
        <w:t>21</w:t>
      </w:r>
      <w:r>
        <w:rPr>
          <w:color w:val="000000" w:themeColor="text1"/>
          <w:highlight w:val="none"/>
          <w14:textFill>
            <w14:solidFill>
              <w14:schemeClr w14:val="tx1"/>
            </w14:solidFill>
          </w14:textFill>
        </w:rPr>
        <w:t>年决算公开编制说明和</w:t>
      </w:r>
      <w:r>
        <w:rPr>
          <w:rFonts w:hint="eastAsia"/>
          <w:color w:val="000000" w:themeColor="text1"/>
          <w:highlight w:val="none"/>
          <w14:textFill>
            <w14:solidFill>
              <w14:schemeClr w14:val="tx1"/>
            </w14:solidFill>
          </w14:textFill>
        </w:rPr>
        <w:t>附件</w:t>
      </w:r>
      <w:r>
        <w:rPr>
          <w:color w:val="000000" w:themeColor="text1"/>
          <w:highlight w:val="none"/>
          <w14:textFill>
            <w14:solidFill>
              <w14:schemeClr w14:val="tx1"/>
            </w14:solidFill>
          </w14:textFill>
        </w:rPr>
        <w:t>已按规定公开</w:t>
      </w:r>
      <w:r>
        <w:rPr>
          <w:rFonts w:hint="eastAsia"/>
          <w:color w:val="000000" w:themeColor="text1"/>
          <w:highlight w:val="none"/>
          <w14:textFill>
            <w14:solidFill>
              <w14:schemeClr w14:val="tx1"/>
            </w14:solidFill>
          </w14:textFill>
        </w:rPr>
        <w:t>于</w:t>
      </w:r>
      <w:r>
        <w:rPr>
          <w:rFonts w:hint="eastAsia"/>
          <w:color w:val="000000" w:themeColor="text1"/>
          <w:highlight w:val="none"/>
          <w:lang w:val="en-US" w:eastAsia="zh-CN"/>
          <w14:textFill>
            <w14:solidFill>
              <w14:schemeClr w14:val="tx1"/>
            </w14:solidFill>
          </w14:textFill>
        </w:rPr>
        <w:t>遂宁市河东新区管理委员会政府</w:t>
      </w:r>
      <w:r>
        <w:rPr>
          <w:rFonts w:hint="eastAsia"/>
          <w:color w:val="000000" w:themeColor="text1"/>
          <w:highlight w:val="none"/>
          <w14:textFill>
            <w14:solidFill>
              <w14:schemeClr w14:val="tx1"/>
            </w14:solidFill>
          </w14:textFill>
        </w:rPr>
        <w:t>信息公开网</w:t>
      </w:r>
      <w:r>
        <w:rPr>
          <w:color w:val="000000" w:themeColor="text1"/>
          <w:highlight w:val="none"/>
          <w14:textFill>
            <w14:solidFill>
              <w14:schemeClr w14:val="tx1"/>
            </w14:solidFill>
          </w14:textFill>
        </w:rPr>
        <w:t>，20</w:t>
      </w:r>
      <w:r>
        <w:rPr>
          <w:rFonts w:hint="eastAsia"/>
          <w:color w:val="000000" w:themeColor="text1"/>
          <w:highlight w:val="none"/>
          <w:lang w:val="en-US" w:eastAsia="zh-CN"/>
          <w14:textFill>
            <w14:solidFill>
              <w14:schemeClr w14:val="tx1"/>
            </w14:solidFill>
          </w14:textFill>
        </w:rPr>
        <w:t>20</w:t>
      </w:r>
      <w:r>
        <w:rPr>
          <w:color w:val="000000" w:themeColor="text1"/>
          <w:highlight w:val="none"/>
          <w14:textFill>
            <w14:solidFill>
              <w14:schemeClr w14:val="tx1"/>
            </w14:solidFill>
          </w14:textFill>
        </w:rPr>
        <w:t>年度整体支出绩效自评报告已随决算</w:t>
      </w:r>
      <w:r>
        <w:rPr>
          <w:rFonts w:hint="eastAsia"/>
          <w:color w:val="000000" w:themeColor="text1"/>
          <w:highlight w:val="none"/>
          <w:lang w:val="en-US"/>
          <w14:textFill>
            <w14:solidFill>
              <w14:schemeClr w14:val="tx1"/>
            </w14:solidFill>
          </w14:textFill>
        </w:rPr>
        <w:t>同时</w:t>
      </w:r>
      <w:r>
        <w:rPr>
          <w:color w:val="000000" w:themeColor="text1"/>
          <w:highlight w:val="none"/>
          <w14:textFill>
            <w14:solidFill>
              <w14:schemeClr w14:val="tx1"/>
            </w14:solidFill>
          </w14:textFill>
        </w:rPr>
        <w:t>公开，符合</w:t>
      </w:r>
      <w:r>
        <w:rPr>
          <w:rFonts w:hint="eastAsia"/>
          <w:color w:val="000000" w:themeColor="text1"/>
          <w:highlight w:val="none"/>
          <w14:textFill>
            <w14:solidFill>
              <w14:schemeClr w14:val="tx1"/>
            </w14:solidFill>
          </w14:textFill>
        </w:rPr>
        <w:t>信息公开</w:t>
      </w:r>
      <w:r>
        <w:rPr>
          <w:color w:val="000000" w:themeColor="text1"/>
          <w:highlight w:val="none"/>
          <w14:textFill>
            <w14:solidFill>
              <w14:schemeClr w14:val="tx1"/>
            </w14:solidFill>
          </w14:textFill>
        </w:rPr>
        <w:t>相关</w:t>
      </w:r>
      <w:r>
        <w:rPr>
          <w:rFonts w:hint="eastAsia"/>
          <w:color w:val="000000" w:themeColor="text1"/>
          <w:highlight w:val="none"/>
          <w:lang w:val="en-US"/>
          <w14:textFill>
            <w14:solidFill>
              <w14:schemeClr w14:val="tx1"/>
            </w14:solidFill>
          </w14:textFill>
        </w:rPr>
        <w:t>法律法规</w:t>
      </w:r>
      <w:r>
        <w:rPr>
          <w:color w:val="000000" w:themeColor="text1"/>
          <w:highlight w:val="none"/>
          <w14:textFill>
            <w14:solidFill>
              <w14:schemeClr w14:val="tx1"/>
            </w14:solidFill>
          </w14:textFill>
        </w:rPr>
        <w:t>规定。</w:t>
      </w:r>
    </w:p>
    <w:p w14:paraId="1E2DC3E9">
      <w:pPr>
        <w:pStyle w:val="4"/>
        <w:pageBreakBefore w:val="0"/>
        <w:wordWrap/>
        <w:overflowPunct/>
        <w:topLinePunct w:val="0"/>
        <w:bidi w:val="0"/>
        <w:spacing w:line="560" w:lineRule="exact"/>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综合上述分析，此项指标分值2分，实际得分2分。</w:t>
      </w:r>
    </w:p>
    <w:p w14:paraId="1856DBCD">
      <w:pPr>
        <w:pStyle w:val="4"/>
        <w:pageBreakBefore w:val="0"/>
        <w:widowControl w:val="0"/>
        <w:numPr>
          <w:ilvl w:val="0"/>
          <w:numId w:val="0"/>
        </w:numPr>
        <w:kinsoku/>
        <w:wordWrap/>
        <w:overflowPunct/>
        <w:topLinePunct w:val="0"/>
        <w:autoSpaceDE/>
        <w:autoSpaceDN/>
        <w:bidi w:val="0"/>
        <w:spacing w:line="560" w:lineRule="exact"/>
        <w:ind w:leftChars="200"/>
        <w:textAlignment w:val="auto"/>
        <w:outlineLvl w:val="2"/>
        <w:rPr>
          <w:rFonts w:hint="default"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（2）整改反馈</w:t>
      </w:r>
    </w:p>
    <w:p w14:paraId="3BAF56B9">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①结果整改</w:t>
      </w:r>
    </w:p>
    <w:p w14:paraId="3C569545">
      <w:pPr>
        <w:pStyle w:val="4"/>
        <w:pageBreakBefore w:val="0"/>
        <w:widowControl w:val="0"/>
        <w:numPr>
          <w:ilvl w:val="0"/>
          <w:numId w:val="0"/>
        </w:numPr>
        <w:kinsoku/>
        <w:wordWrap/>
        <w:overflowPunct/>
        <w:topLinePunct w:val="0"/>
        <w:autoSpaceDE/>
        <w:autoSpaceDN/>
        <w:bidi w:val="0"/>
        <w:spacing w:line="560" w:lineRule="exact"/>
        <w:ind w:leftChars="0" w:firstLine="640" w:firstLineChars="200"/>
        <w:textAlignment w:val="auto"/>
        <w:outlineLvl w:val="9"/>
        <w:rPr>
          <w:rFonts w:hint="default"/>
          <w:highlight w:val="none"/>
          <w:lang w:val="en-US" w:eastAsia="zh-CN"/>
        </w:rPr>
      </w:pPr>
      <w:r>
        <w:rPr>
          <w:rFonts w:hint="eastAsia"/>
          <w:highlight w:val="none"/>
          <w:lang w:val="en-US" w:eastAsia="zh-CN"/>
        </w:rPr>
        <w:t>市场监督管理局分局</w:t>
      </w:r>
      <w:r>
        <w:rPr>
          <w:rFonts w:hint="eastAsia"/>
          <w:highlight w:val="none"/>
          <w:lang w:val="en-US"/>
        </w:rPr>
        <w:t>针对绩效管理过程中（包括绩效目标核查、绩效监控核查和重点绩效评价）提出的问题进行了相应的整改，并将绩效管理结果用于完善政策、改进管理、预算挂钩等相关程序中</w:t>
      </w:r>
      <w:r>
        <w:rPr>
          <w:rFonts w:hint="eastAsia"/>
          <w:highlight w:val="none"/>
          <w:lang w:val="en-US" w:eastAsia="zh-CN"/>
        </w:rPr>
        <w:t>。</w:t>
      </w:r>
    </w:p>
    <w:p w14:paraId="4B118345">
      <w:pPr>
        <w:pStyle w:val="4"/>
        <w:pageBreakBefore w:val="0"/>
        <w:wordWrap/>
        <w:overflowPunct/>
        <w:topLinePunct w:val="0"/>
        <w:bidi w:val="0"/>
        <w:spacing w:line="560" w:lineRule="exact"/>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综合上述分析，此项指标分值4分，实际得分4分。</w:t>
      </w:r>
    </w:p>
    <w:p w14:paraId="05312A03">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②应用反馈</w:t>
      </w:r>
    </w:p>
    <w:p w14:paraId="4EB10740">
      <w:pPr>
        <w:pStyle w:val="4"/>
        <w:pageBreakBefore w:val="0"/>
        <w:wordWrap/>
        <w:overflowPunct/>
        <w:topLinePunct w:val="0"/>
        <w:bidi w:val="0"/>
        <w:spacing w:line="560" w:lineRule="exact"/>
        <w:rPr>
          <w:rFonts w:hint="eastAsia"/>
          <w:highlight w:val="none"/>
          <w:lang w:val="zh-CN"/>
        </w:rPr>
      </w:pPr>
      <w:r>
        <w:rPr>
          <w:rFonts w:hint="eastAsia"/>
          <w:highlight w:val="none"/>
          <w:lang w:val="zh-CN"/>
        </w:rPr>
        <w:t>经评价组现场访谈及核查，</w:t>
      </w:r>
      <w:r>
        <w:rPr>
          <w:rFonts w:hint="eastAsia"/>
          <w:highlight w:val="none"/>
          <w:lang w:val="en-US" w:eastAsia="zh-CN"/>
        </w:rPr>
        <w:t>市场监督管理局分局</w:t>
      </w:r>
      <w:r>
        <w:rPr>
          <w:rFonts w:hint="eastAsia"/>
          <w:highlight w:val="none"/>
          <w:lang w:val="zh-CN"/>
        </w:rPr>
        <w:t>在20</w:t>
      </w:r>
      <w:r>
        <w:rPr>
          <w:rFonts w:hint="eastAsia"/>
          <w:highlight w:val="none"/>
          <w:lang w:val="en-US" w:eastAsia="zh-CN"/>
        </w:rPr>
        <w:t>20</w:t>
      </w:r>
      <w:r>
        <w:rPr>
          <w:rFonts w:hint="eastAsia"/>
          <w:highlight w:val="none"/>
          <w:lang w:val="zh-CN"/>
        </w:rPr>
        <w:t>年部门整体绩效</w:t>
      </w:r>
      <w:r>
        <w:rPr>
          <w:rFonts w:hint="eastAsia"/>
          <w:highlight w:val="none"/>
          <w:lang w:val="en-US" w:eastAsia="zh-CN"/>
        </w:rPr>
        <w:t>评价</w:t>
      </w:r>
      <w:r>
        <w:rPr>
          <w:rFonts w:hint="eastAsia"/>
          <w:highlight w:val="none"/>
          <w:lang w:val="zh-CN"/>
        </w:rPr>
        <w:t>报告中提出单位存在问题:</w:t>
      </w:r>
      <w:r>
        <w:rPr>
          <w:rFonts w:hint="eastAsia"/>
          <w:highlight w:val="none"/>
          <w:lang w:val="en-US" w:eastAsia="zh-CN"/>
        </w:rPr>
        <w:t>存在绩效目标制定低，资金使用不及时等情况</w:t>
      </w:r>
      <w:r>
        <w:rPr>
          <w:rFonts w:hint="eastAsia"/>
          <w:highlight w:val="none"/>
          <w:lang w:val="zh-CN"/>
        </w:rPr>
        <w:t>。</w:t>
      </w:r>
    </w:p>
    <w:p w14:paraId="24D52A51">
      <w:pPr>
        <w:pStyle w:val="4"/>
        <w:pageBreakBefore w:val="0"/>
        <w:wordWrap/>
        <w:overflowPunct/>
        <w:topLinePunct w:val="0"/>
        <w:bidi w:val="0"/>
        <w:spacing w:line="560" w:lineRule="exact"/>
        <w:rPr>
          <w:rFonts w:hint="default"/>
          <w:highlight w:val="none"/>
          <w:lang w:val="en-US" w:eastAsia="zh-CN"/>
        </w:rPr>
      </w:pPr>
      <w:r>
        <w:rPr>
          <w:rFonts w:hint="eastAsia"/>
          <w:highlight w:val="none"/>
          <w:lang w:val="zh-CN"/>
        </w:rPr>
        <w:t>单位在202</w:t>
      </w:r>
      <w:r>
        <w:rPr>
          <w:rFonts w:hint="eastAsia"/>
          <w:highlight w:val="none"/>
          <w:lang w:val="en-US" w:eastAsia="zh-CN"/>
        </w:rPr>
        <w:t>1</w:t>
      </w:r>
      <w:r>
        <w:rPr>
          <w:rFonts w:hint="eastAsia"/>
          <w:highlight w:val="none"/>
          <w:lang w:val="zh-CN"/>
        </w:rPr>
        <w:t>年工作中进行了改进措施应用:</w:t>
      </w:r>
      <w:r>
        <w:rPr>
          <w:rFonts w:hint="eastAsia"/>
          <w:highlight w:val="none"/>
          <w:lang w:val="en-US" w:eastAsia="zh-CN"/>
        </w:rPr>
        <w:t>绩效目标细化，根据规定及时支出资金支。</w:t>
      </w:r>
    </w:p>
    <w:p w14:paraId="197F77D4">
      <w:pPr>
        <w:pStyle w:val="4"/>
        <w:pageBreakBefore w:val="0"/>
        <w:wordWrap/>
        <w:overflowPunct/>
        <w:topLinePunct w:val="0"/>
        <w:bidi w:val="0"/>
        <w:spacing w:line="560" w:lineRule="exact"/>
        <w:rPr>
          <w:rFonts w:hint="default"/>
          <w:highlight w:val="none"/>
          <w:lang w:val="en-US" w:eastAsia="zh-CN"/>
        </w:rPr>
      </w:pPr>
      <w:r>
        <w:rPr>
          <w:rFonts w:hint="eastAsia"/>
          <w:color w:val="000000" w:themeColor="text1"/>
          <w:highlight w:val="none"/>
          <w:lang w:val="en-US" w:eastAsia="zh-CN"/>
          <w14:textFill>
            <w14:solidFill>
              <w14:schemeClr w14:val="tx1"/>
            </w14:solidFill>
          </w14:textFill>
        </w:rPr>
        <w:t>综合上述分析，此项指标分值4分，实际得分4分。</w:t>
      </w:r>
    </w:p>
    <w:p w14:paraId="62025E05">
      <w:pPr>
        <w:pStyle w:val="4"/>
        <w:pageBreakBefore w:val="0"/>
        <w:widowControl w:val="0"/>
        <w:numPr>
          <w:ilvl w:val="-1"/>
          <w:numId w:val="0"/>
        </w:numPr>
        <w:kinsoku/>
        <w:wordWrap/>
        <w:overflowPunct/>
        <w:topLinePunct w:val="0"/>
        <w:autoSpaceDE/>
        <w:autoSpaceDN/>
        <w:bidi w:val="0"/>
        <w:spacing w:line="560" w:lineRule="exact"/>
        <w:ind w:left="0" w:leftChars="0" w:firstLine="643" w:firstLineChars="200"/>
        <w:textAlignment w:val="auto"/>
        <w:outlineLvl w:val="2"/>
        <w:rPr>
          <w:rFonts w:hint="default"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3.自评质量</w:t>
      </w:r>
    </w:p>
    <w:p w14:paraId="010B21F2">
      <w:pPr>
        <w:pStyle w:val="4"/>
        <w:pageBreakBefore w:val="0"/>
        <w:widowControl w:val="0"/>
        <w:numPr>
          <w:ilvl w:val="0"/>
          <w:numId w:val="0"/>
        </w:numPr>
        <w:kinsoku/>
        <w:wordWrap/>
        <w:overflowPunct/>
        <w:topLinePunct w:val="0"/>
        <w:autoSpaceDE/>
        <w:autoSpaceDN/>
        <w:bidi w:val="0"/>
        <w:spacing w:line="560" w:lineRule="exact"/>
        <w:ind w:leftChars="200"/>
        <w:textAlignment w:val="auto"/>
        <w:outlineLvl w:val="2"/>
        <w:rPr>
          <w:rFonts w:hint="default"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（3）自评质量</w:t>
      </w:r>
    </w:p>
    <w:p w14:paraId="4B260110">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①自评准确</w:t>
      </w:r>
    </w:p>
    <w:p w14:paraId="3237A506">
      <w:pPr>
        <w:pStyle w:val="4"/>
        <w:pageBreakBefore w:val="0"/>
        <w:wordWrap/>
        <w:overflowPunct/>
        <w:topLinePunct w:val="0"/>
        <w:bidi w:val="0"/>
        <w:spacing w:line="560" w:lineRule="exact"/>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2021年</w:t>
      </w:r>
      <w:r>
        <w:rPr>
          <w:rFonts w:hint="eastAsia" w:cs="Times New Roman"/>
          <w:highlight w:val="none"/>
          <w:lang w:val="en-US" w:eastAsia="zh-CN"/>
        </w:rPr>
        <w:t>市场监督管理局分局</w:t>
      </w:r>
      <w:r>
        <w:rPr>
          <w:rFonts w:hint="eastAsia" w:ascii="Times New Roman" w:hAnsi="Times New Roman" w:cs="Times New Roman"/>
          <w:highlight w:val="none"/>
          <w:lang w:val="en-US" w:eastAsia="zh-CN"/>
        </w:rPr>
        <w:t>自评为70分，评价组评分为6</w:t>
      </w:r>
      <w:r>
        <w:rPr>
          <w:rFonts w:hint="eastAsia" w:cs="Times New Roman"/>
          <w:highlight w:val="none"/>
          <w:lang w:val="en-US" w:eastAsia="zh-CN"/>
        </w:rPr>
        <w:t>4</w:t>
      </w:r>
      <w:r>
        <w:rPr>
          <w:rFonts w:hint="eastAsia" w:ascii="Times New Roman" w:hAnsi="Times New Roman" w:cs="Times New Roman"/>
          <w:highlight w:val="none"/>
          <w:lang w:val="en-US" w:eastAsia="zh-CN"/>
        </w:rPr>
        <w:t>分，差异为</w:t>
      </w:r>
      <w:r>
        <w:rPr>
          <w:rFonts w:hint="eastAsia" w:cs="Times New Roman"/>
          <w:highlight w:val="none"/>
          <w:lang w:val="en-US" w:eastAsia="zh-CN"/>
        </w:rPr>
        <w:t>8.67</w:t>
      </w:r>
      <w:r>
        <w:rPr>
          <w:rFonts w:hint="eastAsia" w:ascii="Times New Roman" w:hAnsi="Times New Roman" w:cs="Times New Roman"/>
          <w:highlight w:val="none"/>
          <w:lang w:val="en-US" w:eastAsia="zh-CN"/>
        </w:rPr>
        <w:t>%，自评质量</w:t>
      </w:r>
      <w:r>
        <w:rPr>
          <w:rFonts w:hint="eastAsia" w:cs="Times New Roman"/>
          <w:highlight w:val="none"/>
          <w:lang w:val="en-US" w:eastAsia="zh-CN"/>
        </w:rPr>
        <w:t>一般</w:t>
      </w:r>
      <w:r>
        <w:rPr>
          <w:rFonts w:hint="eastAsia" w:ascii="Times New Roman" w:hAnsi="Times New Roman" w:cs="Times New Roman"/>
          <w:highlight w:val="none"/>
          <w:lang w:val="en-US" w:eastAsia="zh-CN"/>
        </w:rPr>
        <w:t>。</w:t>
      </w:r>
    </w:p>
    <w:p w14:paraId="16EDEA44">
      <w:pPr>
        <w:pStyle w:val="4"/>
        <w:pageBreakBefore w:val="0"/>
        <w:wordWrap/>
        <w:overflowPunct/>
        <w:topLinePunct w:val="0"/>
        <w:bidi w:val="0"/>
        <w:spacing w:line="560" w:lineRule="exact"/>
        <w:rPr>
          <w:rFonts w:hint="eastAsia" w:ascii="Times New Roman" w:hAnsi="Times New Roman" w:cs="Times New Roman"/>
          <w:highlight w:val="none"/>
          <w:lang w:val="en-US" w:eastAsia="zh-CN"/>
        </w:rPr>
      </w:pPr>
      <w:r>
        <w:rPr>
          <w:rFonts w:hint="eastAsia"/>
          <w:color w:val="000000" w:themeColor="text1"/>
          <w:highlight w:val="none"/>
          <w:lang w:val="en-US" w:eastAsia="zh-CN"/>
          <w14:textFill>
            <w14:solidFill>
              <w14:schemeClr w14:val="tx1"/>
            </w14:solidFill>
          </w14:textFill>
        </w:rPr>
        <w:t>综合上述分析，此项指标分值10分，实际得分6分，扣分4分。</w:t>
      </w:r>
    </w:p>
    <w:p w14:paraId="6C8887CE">
      <w:pPr>
        <w:pStyle w:val="3"/>
        <w:pageBreakBefore w:val="0"/>
        <w:numPr>
          <w:ilvl w:val="0"/>
          <w:numId w:val="0"/>
        </w:numPr>
        <w:kinsoku/>
        <w:wordWrap/>
        <w:overflowPunct/>
        <w:topLinePunct w:val="0"/>
        <w:autoSpaceDE/>
        <w:autoSpaceDN/>
        <w:bidi w:val="0"/>
        <w:spacing w:line="560" w:lineRule="exact"/>
        <w:ind w:left="0" w:leftChars="0" w:firstLine="640" w:firstLineChars="200"/>
        <w:outlineLvl w:val="0"/>
        <w:rPr>
          <w:rFonts w:hint="default"/>
          <w:color w:val="auto"/>
          <w:lang w:val="en-US"/>
        </w:rPr>
      </w:pPr>
      <w:r>
        <w:rPr>
          <w:rFonts w:hint="eastAsia"/>
          <w:color w:val="auto"/>
          <w:lang w:val="en-US" w:eastAsia="zh-CN"/>
        </w:rPr>
        <w:t>七、</w:t>
      </w:r>
      <w:r>
        <w:rPr>
          <w:rFonts w:hint="eastAsia"/>
          <w:color w:val="auto"/>
        </w:rPr>
        <w:t>存在问题</w:t>
      </w:r>
      <w:r>
        <w:rPr>
          <w:rFonts w:hint="eastAsia"/>
          <w:color w:val="auto"/>
          <w:lang w:val="en-US" w:eastAsia="zh-CN"/>
        </w:rPr>
        <w:t>及改进措施</w:t>
      </w:r>
    </w:p>
    <w:p w14:paraId="47A16F8F">
      <w:pPr>
        <w:pStyle w:val="4"/>
        <w:pageBreakBefore w:val="0"/>
        <w:widowControl w:val="0"/>
        <w:kinsoku/>
        <w:wordWrap/>
        <w:overflowPunct/>
        <w:topLinePunct w:val="0"/>
        <w:autoSpaceDE/>
        <w:autoSpaceDN/>
        <w:bidi w:val="0"/>
        <w:spacing w:line="560" w:lineRule="exact"/>
        <w:ind w:left="0" w:leftChars="0" w:firstLine="643" w:firstLineChars="200"/>
        <w:textAlignment w:val="auto"/>
        <w:outlineLvl w:val="1"/>
        <w:rPr>
          <w:rFonts w:hint="eastAsia" w:ascii="楷体" w:hAnsi="楷体" w:eastAsia="楷体" w:cs="楷体"/>
          <w:b/>
          <w:bCs/>
          <w:color w:val="auto"/>
          <w:lang w:val="en-US" w:eastAsia="zh-CN"/>
        </w:rPr>
      </w:pPr>
      <w:r>
        <w:rPr>
          <w:rFonts w:hint="eastAsia" w:ascii="楷体" w:hAnsi="楷体" w:eastAsia="楷体" w:cs="楷体"/>
          <w:b/>
          <w:bCs/>
          <w:color w:val="auto"/>
          <w:lang w:val="en-US" w:eastAsia="zh-CN"/>
        </w:rPr>
        <w:t>（一）存在问题及原因分析</w:t>
      </w:r>
    </w:p>
    <w:p w14:paraId="0200DA64">
      <w:pPr>
        <w:pStyle w:val="4"/>
        <w:pageBreakBefore w:val="0"/>
        <w:widowControl w:val="0"/>
        <w:numPr>
          <w:ilvl w:val="-1"/>
          <w:numId w:val="0"/>
        </w:numPr>
        <w:kinsoku/>
        <w:wordWrap/>
        <w:overflowPunct/>
        <w:topLinePunct w:val="0"/>
        <w:autoSpaceDE/>
        <w:autoSpaceDN/>
        <w:bidi w:val="0"/>
        <w:spacing w:line="560" w:lineRule="exact"/>
        <w:ind w:left="0" w:leftChars="0" w:firstLine="643" w:firstLineChars="200"/>
        <w:textAlignment w:val="auto"/>
        <w:outlineLvl w:val="2"/>
        <w:rPr>
          <w:rFonts w:hint="eastAsia"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1.部门经费收支调整偏差控制情况欠佳</w:t>
      </w:r>
    </w:p>
    <w:p w14:paraId="5FF9CB72">
      <w:pPr>
        <w:pStyle w:val="4"/>
        <w:pageBreakBefore w:val="0"/>
        <w:wordWrap/>
        <w:overflowPunct/>
        <w:topLinePunct w:val="0"/>
        <w:bidi w:val="0"/>
        <w:spacing w:line="560" w:lineRule="exact"/>
        <w:rPr>
          <w:rFonts w:hint="eastAsia"/>
          <w:lang w:val="en-US"/>
        </w:rPr>
      </w:pPr>
      <w:r>
        <w:rPr>
          <w:rFonts w:hint="eastAsia"/>
          <w:lang w:val="en-US" w:eastAsia="zh-CN"/>
        </w:rPr>
        <w:t>经评价组核查，</w:t>
      </w:r>
      <w:r>
        <w:rPr>
          <w:rFonts w:hint="eastAsia"/>
          <w:lang w:val="en-US"/>
        </w:rPr>
        <w:t>202</w:t>
      </w:r>
      <w:r>
        <w:rPr>
          <w:rFonts w:hint="eastAsia"/>
          <w:lang w:val="en-US" w:eastAsia="zh-CN"/>
        </w:rPr>
        <w:t>1</w:t>
      </w:r>
      <w:r>
        <w:rPr>
          <w:rFonts w:hint="eastAsia"/>
          <w:lang w:val="en-US"/>
        </w:rPr>
        <w:t>年</w:t>
      </w:r>
      <w:r>
        <w:rPr>
          <w:rFonts w:hint="eastAsia"/>
          <w:lang w:val="en-US" w:eastAsia="zh-CN"/>
        </w:rPr>
        <w:t>市场监督管理局分局</w:t>
      </w:r>
      <w:r>
        <w:rPr>
          <w:rFonts w:hint="eastAsia"/>
          <w:lang w:val="en-US"/>
        </w:rPr>
        <w:t>日常公用经费及项目支出中“办公费、印刷费、水费、电费、物业管理费”等科目年初预算数为</w:t>
      </w:r>
      <w:r>
        <w:rPr>
          <w:rFonts w:hint="eastAsia"/>
          <w:color w:val="000000" w:themeColor="text1"/>
          <w:highlight w:val="none"/>
          <w:lang w:val="en-US" w:eastAsia="zh-CN"/>
          <w14:textFill>
            <w14:solidFill>
              <w14:schemeClr w14:val="tx1"/>
            </w14:solidFill>
          </w14:textFill>
        </w:rPr>
        <w:t>86.85</w:t>
      </w:r>
      <w:r>
        <w:rPr>
          <w:rFonts w:hint="eastAsia"/>
          <w:lang w:val="en-US"/>
        </w:rPr>
        <w:t>万元，</w:t>
      </w:r>
      <w:r>
        <w:rPr>
          <w:rFonts w:hint="eastAsia"/>
          <w:lang w:val="en-US" w:eastAsia="zh-CN"/>
        </w:rPr>
        <w:t>决算数为</w:t>
      </w:r>
      <w:r>
        <w:rPr>
          <w:rFonts w:hint="eastAsia"/>
          <w:color w:val="000000" w:themeColor="text1"/>
          <w:highlight w:val="none"/>
          <w:lang w:val="en-US" w:eastAsia="zh-CN"/>
          <w14:textFill>
            <w14:solidFill>
              <w14:schemeClr w14:val="tx1"/>
            </w14:solidFill>
          </w14:textFill>
        </w:rPr>
        <w:t>69.63</w:t>
      </w:r>
      <w:r>
        <w:rPr>
          <w:rFonts w:hint="eastAsia"/>
          <w:color w:val="000000" w:themeColor="text1"/>
          <w:highlight w:val="none"/>
          <w:lang w:val="en-US"/>
          <w14:textFill>
            <w14:solidFill>
              <w14:schemeClr w14:val="tx1"/>
            </w14:solidFill>
          </w14:textFill>
        </w:rPr>
        <w:t>万元，预决算偏差程度为</w:t>
      </w:r>
      <w:r>
        <w:rPr>
          <w:rFonts w:hint="eastAsia"/>
          <w:color w:val="000000" w:themeColor="text1"/>
          <w:highlight w:val="none"/>
          <w:lang w:val="en-US" w:eastAsia="zh-CN"/>
          <w14:textFill>
            <w14:solidFill>
              <w14:schemeClr w14:val="tx1"/>
            </w14:solidFill>
          </w14:textFill>
        </w:rPr>
        <w:t>19.83</w:t>
      </w:r>
      <w:r>
        <w:rPr>
          <w:rFonts w:hint="eastAsia"/>
          <w:color w:val="000000" w:themeColor="text1"/>
          <w:highlight w:val="none"/>
          <w:lang w:val="en-US"/>
          <w14:textFill>
            <w14:solidFill>
              <w14:schemeClr w14:val="tx1"/>
            </w14:solidFill>
          </w14:textFill>
        </w:rPr>
        <w:t>%，偏差程度</w:t>
      </w:r>
      <w:r>
        <w:rPr>
          <w:rFonts w:hint="eastAsia"/>
          <w:color w:val="000000" w:themeColor="text1"/>
          <w:highlight w:val="none"/>
          <w:lang w:val="en-US" w:eastAsia="zh-CN"/>
          <w14:textFill>
            <w14:solidFill>
              <w14:schemeClr w14:val="tx1"/>
            </w14:solidFill>
          </w14:textFill>
        </w:rPr>
        <w:t>接近20%，</w:t>
      </w:r>
      <w:r>
        <w:rPr>
          <w:rFonts w:hint="eastAsia"/>
          <w:lang w:val="en-US"/>
        </w:rPr>
        <w:t>公用经费支出控制</w:t>
      </w:r>
      <w:r>
        <w:rPr>
          <w:rFonts w:hint="eastAsia"/>
          <w:lang w:val="en-US" w:eastAsia="zh-CN"/>
        </w:rPr>
        <w:t>有待加强</w:t>
      </w:r>
      <w:r>
        <w:rPr>
          <w:rFonts w:hint="eastAsia"/>
          <w:lang w:val="en-US"/>
        </w:rPr>
        <w:t>。</w:t>
      </w:r>
    </w:p>
    <w:p w14:paraId="654AD27B">
      <w:pPr>
        <w:pStyle w:val="4"/>
        <w:pageBreakBefore w:val="0"/>
        <w:wordWrap/>
        <w:overflowPunct/>
        <w:topLinePunct w:val="0"/>
        <w:bidi w:val="0"/>
        <w:spacing w:line="560" w:lineRule="exact"/>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14:textFill>
            <w14:solidFill>
              <w14:schemeClr w14:val="tx1"/>
            </w14:solidFill>
          </w14:textFill>
        </w:rPr>
        <w:t>单位202</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lang w:val="en-US"/>
          <w14:textFill>
            <w14:solidFill>
              <w14:schemeClr w14:val="tx1"/>
            </w14:solidFill>
          </w14:textFill>
        </w:rPr>
        <w:t>年预算数为</w:t>
      </w:r>
      <w:r>
        <w:rPr>
          <w:rFonts w:hint="eastAsia"/>
          <w:color w:val="auto"/>
          <w:szCs w:val="32"/>
          <w:highlight w:val="none"/>
          <w:lang w:val="en-US" w:eastAsia="zh-CN"/>
        </w:rPr>
        <w:t>679.03</w:t>
      </w:r>
      <w:r>
        <w:rPr>
          <w:rFonts w:hint="eastAsia"/>
          <w:color w:val="000000" w:themeColor="text1"/>
          <w:highlight w:val="none"/>
          <w:lang w:val="en-US"/>
          <w14:textFill>
            <w14:solidFill>
              <w14:schemeClr w14:val="tx1"/>
            </w14:solidFill>
          </w14:textFill>
        </w:rPr>
        <w:t>万元，</w:t>
      </w:r>
      <w:r>
        <w:rPr>
          <w:rFonts w:hint="eastAsia"/>
          <w:color w:val="000000" w:themeColor="text1"/>
          <w:highlight w:val="none"/>
          <w:lang w:val="en-US" w:eastAsia="zh-CN"/>
          <w14:textFill>
            <w14:solidFill>
              <w14:schemeClr w14:val="tx1"/>
            </w14:solidFill>
          </w14:textFill>
        </w:rPr>
        <w:t>调整预算为</w:t>
      </w:r>
      <w:r>
        <w:rPr>
          <w:rFonts w:hint="eastAsia"/>
          <w:color w:val="auto"/>
          <w:szCs w:val="32"/>
          <w:highlight w:val="none"/>
          <w:lang w:val="en-US" w:eastAsia="zh-CN"/>
        </w:rPr>
        <w:t>582.83</w:t>
      </w:r>
      <w:r>
        <w:rPr>
          <w:rFonts w:hint="eastAsia"/>
          <w:color w:val="000000" w:themeColor="text1"/>
          <w:highlight w:val="none"/>
          <w:lang w:val="en-US" w:eastAsia="zh-CN"/>
          <w14:textFill>
            <w14:solidFill>
              <w14:schemeClr w14:val="tx1"/>
            </w14:solidFill>
          </w14:textFill>
        </w:rPr>
        <w:t>万元，偏差程度为14.16%，偏差率较大，预算编制准确率有待提高。</w:t>
      </w:r>
    </w:p>
    <w:p w14:paraId="174DB6CE">
      <w:pPr>
        <w:pStyle w:val="4"/>
        <w:pageBreakBefore w:val="0"/>
        <w:widowControl w:val="0"/>
        <w:numPr>
          <w:ilvl w:val="-1"/>
          <w:numId w:val="0"/>
        </w:numPr>
        <w:kinsoku/>
        <w:wordWrap/>
        <w:overflowPunct/>
        <w:topLinePunct w:val="0"/>
        <w:autoSpaceDE/>
        <w:autoSpaceDN/>
        <w:bidi w:val="0"/>
        <w:spacing w:line="560" w:lineRule="exact"/>
        <w:ind w:left="0" w:leftChars="0" w:firstLine="643" w:firstLineChars="200"/>
        <w:textAlignment w:val="auto"/>
        <w:outlineLvl w:val="2"/>
        <w:rPr>
          <w:rFonts w:hint="eastAsia"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2.预算执行率有偏离</w:t>
      </w:r>
    </w:p>
    <w:p w14:paraId="16CF9D9A">
      <w:pPr>
        <w:pStyle w:val="4"/>
        <w:pageBreakBefore w:val="0"/>
        <w:wordWrap/>
        <w:overflowPunct/>
        <w:topLinePunct w:val="0"/>
        <w:bidi w:val="0"/>
        <w:spacing w:line="560" w:lineRule="exact"/>
        <w:rPr>
          <w:rFonts w:hint="eastAsia"/>
          <w:highlight w:val="none"/>
        </w:rPr>
      </w:pPr>
      <w:r>
        <w:rPr>
          <w:rFonts w:hint="eastAsia"/>
          <w:highlight w:val="none"/>
        </w:rPr>
        <w:t>在</w:t>
      </w:r>
      <w:r>
        <w:rPr>
          <w:rFonts w:hint="eastAsia"/>
          <w:highlight w:val="none"/>
          <w:lang w:val="en-US"/>
        </w:rPr>
        <w:t>202</w:t>
      </w:r>
      <w:r>
        <w:rPr>
          <w:rFonts w:hint="eastAsia"/>
          <w:highlight w:val="none"/>
          <w:lang w:val="en-US" w:eastAsia="zh-CN"/>
        </w:rPr>
        <w:t>1</w:t>
      </w:r>
      <w:r>
        <w:rPr>
          <w:rFonts w:hint="eastAsia"/>
          <w:highlight w:val="none"/>
          <w:lang w:val="en-US"/>
        </w:rPr>
        <w:t>年6月</w:t>
      </w:r>
      <w:r>
        <w:rPr>
          <w:rFonts w:hint="eastAsia"/>
          <w:highlight w:val="none"/>
          <w:lang w:val="en-US" w:eastAsia="zh-CN"/>
        </w:rPr>
        <w:t>、</w:t>
      </w:r>
      <w:r>
        <w:rPr>
          <w:rFonts w:hint="eastAsia"/>
          <w:highlight w:val="none"/>
          <w:lang w:val="en-US"/>
        </w:rPr>
        <w:t>9</w:t>
      </w:r>
      <w:r>
        <w:rPr>
          <w:rFonts w:hint="eastAsia"/>
          <w:highlight w:val="none"/>
        </w:rPr>
        <w:t>月</w:t>
      </w:r>
      <w:r>
        <w:rPr>
          <w:rFonts w:hint="eastAsia"/>
          <w:highlight w:val="none"/>
          <w:lang w:eastAsia="zh-CN"/>
        </w:rPr>
        <w:t>、</w:t>
      </w:r>
      <w:r>
        <w:rPr>
          <w:rFonts w:hint="eastAsia"/>
          <w:highlight w:val="none"/>
          <w:lang w:val="en-US" w:eastAsia="zh-CN"/>
        </w:rPr>
        <w:t>10月预算执行进度分别</w:t>
      </w:r>
      <w:r>
        <w:rPr>
          <w:highlight w:val="none"/>
        </w:rPr>
        <w:t>为</w:t>
      </w:r>
      <w:r>
        <w:rPr>
          <w:rFonts w:hint="eastAsia"/>
          <w:highlight w:val="none"/>
          <w:lang w:val="en-US" w:eastAsia="zh-CN"/>
        </w:rPr>
        <w:t>26.85%、43.17%</w:t>
      </w:r>
      <w:r>
        <w:rPr>
          <w:rFonts w:hint="eastAsia"/>
          <w:highlight w:val="none"/>
          <w:lang w:eastAsia="zh-CN"/>
        </w:rPr>
        <w:t>、</w:t>
      </w:r>
      <w:r>
        <w:rPr>
          <w:rFonts w:hint="eastAsia"/>
          <w:highlight w:val="none"/>
          <w:lang w:val="en-US" w:eastAsia="zh-CN"/>
        </w:rPr>
        <w:t>67.31%</w:t>
      </w:r>
      <w:r>
        <w:rPr>
          <w:rFonts w:hint="eastAsia"/>
          <w:highlight w:val="none"/>
          <w:lang w:eastAsia="zh-CN"/>
        </w:rPr>
        <w:t>（</w:t>
      </w:r>
      <w:r>
        <w:rPr>
          <w:rFonts w:hint="eastAsia"/>
          <w:highlight w:val="none"/>
        </w:rPr>
        <w:t>实际支出</w:t>
      </w:r>
      <w:r>
        <w:rPr>
          <w:rFonts w:hint="eastAsia"/>
          <w:highlight w:val="none"/>
          <w:lang w:val="en-US"/>
        </w:rPr>
        <w:t>金额</w:t>
      </w:r>
      <w:r>
        <w:rPr>
          <w:rFonts w:hint="eastAsia"/>
          <w:highlight w:val="none"/>
          <w:lang w:val="en-US" w:eastAsia="zh-CN"/>
        </w:rPr>
        <w:t>分别</w:t>
      </w:r>
      <w:r>
        <w:rPr>
          <w:rFonts w:hint="eastAsia"/>
          <w:highlight w:val="none"/>
        </w:rPr>
        <w:t>为</w:t>
      </w:r>
      <w:r>
        <w:rPr>
          <w:rFonts w:hint="eastAsia"/>
          <w:highlight w:val="none"/>
          <w:lang w:val="en-US" w:eastAsia="zh-CN"/>
        </w:rPr>
        <w:t>184.36</w:t>
      </w:r>
      <w:r>
        <w:rPr>
          <w:rFonts w:hint="eastAsia"/>
          <w:highlight w:val="none"/>
        </w:rPr>
        <w:t>万元</w:t>
      </w:r>
      <w:r>
        <w:rPr>
          <w:rFonts w:hint="eastAsia"/>
          <w:highlight w:val="none"/>
          <w:lang w:eastAsia="zh-CN"/>
        </w:rPr>
        <w:t>、</w:t>
      </w:r>
      <w:r>
        <w:rPr>
          <w:rFonts w:hint="eastAsia"/>
          <w:highlight w:val="none"/>
          <w:lang w:val="en-US" w:eastAsia="zh-CN"/>
        </w:rPr>
        <w:t>317.68万元、392.13万元</w:t>
      </w:r>
      <w:r>
        <w:rPr>
          <w:rFonts w:hint="eastAsia"/>
          <w:highlight w:val="none"/>
          <w:lang w:eastAsia="zh-CN"/>
        </w:rPr>
        <w:t>），</w:t>
      </w:r>
      <w:r>
        <w:rPr>
          <w:rFonts w:hint="eastAsia"/>
          <w:highlight w:val="none"/>
          <w:lang w:val="en-US" w:eastAsia="zh-CN"/>
        </w:rPr>
        <w:t>未分别达到</w:t>
      </w:r>
      <w:r>
        <w:rPr>
          <w:rFonts w:hint="eastAsia"/>
          <w:highlight w:val="none"/>
        </w:rPr>
        <w:t>40%</w:t>
      </w:r>
      <w:r>
        <w:rPr>
          <w:rFonts w:hint="eastAsia"/>
          <w:highlight w:val="none"/>
          <w:lang w:eastAsia="zh-CN"/>
        </w:rPr>
        <w:t>、</w:t>
      </w:r>
      <w:r>
        <w:rPr>
          <w:rFonts w:hint="eastAsia"/>
          <w:highlight w:val="none"/>
          <w:lang w:val="en-US" w:eastAsia="zh-CN"/>
        </w:rPr>
        <w:t>67.5%、</w:t>
      </w:r>
      <w:r>
        <w:rPr>
          <w:rFonts w:hint="eastAsia"/>
          <w:highlight w:val="none"/>
        </w:rPr>
        <w:t>82.5%</w:t>
      </w:r>
      <w:r>
        <w:rPr>
          <w:rFonts w:hint="eastAsia"/>
          <w:highlight w:val="none"/>
          <w:lang w:val="en-US" w:eastAsia="zh-CN"/>
        </w:rPr>
        <w:t>预算执行进度，</w:t>
      </w:r>
      <w:r>
        <w:rPr>
          <w:rFonts w:hint="eastAsia"/>
          <w:highlight w:val="none"/>
          <w:lang w:val="en-US"/>
        </w:rPr>
        <w:t>预算</w:t>
      </w:r>
      <w:r>
        <w:rPr>
          <w:rFonts w:hint="eastAsia"/>
          <w:highlight w:val="none"/>
        </w:rPr>
        <w:t>执行进度完成情况</w:t>
      </w:r>
      <w:r>
        <w:rPr>
          <w:rFonts w:hint="eastAsia"/>
          <w:highlight w:val="none"/>
          <w:lang w:val="en-US" w:eastAsia="zh-CN"/>
        </w:rPr>
        <w:t>有待提升</w:t>
      </w:r>
      <w:r>
        <w:rPr>
          <w:rFonts w:hint="eastAsia"/>
          <w:highlight w:val="none"/>
        </w:rPr>
        <w:t>。</w:t>
      </w:r>
    </w:p>
    <w:p w14:paraId="6D111247">
      <w:pPr>
        <w:pageBreakBefore w:val="0"/>
        <w:kinsoku/>
        <w:wordWrap/>
        <w:overflowPunct/>
        <w:topLinePunct w:val="0"/>
        <w:autoSpaceDE/>
        <w:autoSpaceDN/>
        <w:bidi w:val="0"/>
        <w:adjustRightInd w:val="0"/>
        <w:snapToGrid/>
        <w:spacing w:line="560" w:lineRule="exact"/>
        <w:ind w:firstLine="643" w:firstLineChars="200"/>
        <w:outlineLvl w:val="2"/>
        <w:rPr>
          <w:rFonts w:hint="default" w:ascii="仿宋" w:hAnsi="仿宋" w:eastAsia="仿宋" w:cs="仿宋"/>
          <w:b/>
          <w:color w:val="auto"/>
          <w:sz w:val="32"/>
          <w:szCs w:val="32"/>
          <w:lang w:val="en-US" w:eastAsia="zh-CN"/>
        </w:rPr>
      </w:pPr>
      <w:r>
        <w:rPr>
          <w:rFonts w:hint="eastAsia" w:ascii="仿宋" w:hAnsi="仿宋" w:eastAsia="仿宋" w:cs="仿宋"/>
          <w:b/>
          <w:color w:val="auto"/>
          <w:sz w:val="32"/>
          <w:szCs w:val="32"/>
          <w:lang w:val="en-US" w:eastAsia="zh-CN"/>
        </w:rPr>
        <w:t>3.会计账务处理存在不规范等问题</w:t>
      </w:r>
    </w:p>
    <w:p w14:paraId="76E0EBFE">
      <w:pPr>
        <w:pStyle w:val="4"/>
        <w:pageBreakBefore w:val="0"/>
        <w:wordWrap/>
        <w:overflowPunct/>
        <w:topLinePunct w:val="0"/>
        <w:bidi w:val="0"/>
        <w:spacing w:line="560" w:lineRule="exact"/>
        <w:rPr>
          <w:rFonts w:hint="default"/>
          <w:highlight w:val="none"/>
          <w:lang w:val="en-US" w:eastAsia="zh-CN"/>
        </w:rPr>
      </w:pPr>
      <w:r>
        <w:rPr>
          <w:rFonts w:hint="eastAsia"/>
          <w:highlight w:val="none"/>
          <w:lang w:val="en-US" w:eastAsia="zh-CN"/>
        </w:rPr>
        <w:t>（1）将药械化流通领域飞行价差接待费用计入行政支出-财政拨款支出-基本支出-日常公用经费，涉及金额686.00元，涉及凭证为2021年3月第24号；</w:t>
      </w:r>
    </w:p>
    <w:p w14:paraId="4A9860E2">
      <w:pPr>
        <w:pStyle w:val="4"/>
        <w:pageBreakBefore w:val="0"/>
        <w:wordWrap/>
        <w:overflowPunct/>
        <w:topLinePunct w:val="0"/>
        <w:bidi w:val="0"/>
        <w:spacing w:line="560" w:lineRule="exact"/>
        <w:rPr>
          <w:rFonts w:hint="default"/>
          <w:highlight w:val="none"/>
          <w:lang w:val="en-US" w:eastAsia="zh-CN"/>
        </w:rPr>
      </w:pPr>
      <w:r>
        <w:rPr>
          <w:rFonts w:hint="eastAsia"/>
          <w:highlight w:val="none"/>
          <w:lang w:val="en-US" w:eastAsia="zh-CN"/>
        </w:rPr>
        <w:t>（2）单位付考查学习食品安全工作差旅费，附件不全，后附出差审批单为空白，涉及金额598.00元，涉及凭证为2021年6月第12号；</w:t>
      </w:r>
    </w:p>
    <w:p w14:paraId="1BA1CEF3">
      <w:pPr>
        <w:pStyle w:val="4"/>
        <w:pageBreakBefore w:val="0"/>
        <w:wordWrap/>
        <w:overflowPunct/>
        <w:topLinePunct w:val="0"/>
        <w:bidi w:val="0"/>
        <w:spacing w:line="560" w:lineRule="exact"/>
        <w:rPr>
          <w:rFonts w:hint="default"/>
          <w:highlight w:val="none"/>
          <w:lang w:val="en-US" w:eastAsia="zh-CN"/>
        </w:rPr>
      </w:pPr>
      <w:r>
        <w:rPr>
          <w:rFonts w:hint="eastAsia"/>
          <w:highlight w:val="none"/>
          <w:lang w:val="en-US" w:eastAsia="zh-CN"/>
        </w:rPr>
        <w:t>（3）单位付特种设备安全隐患交叉排查接待费，附件菜单含有酒水纯生10瓶，涉及金额430.00元，涉及凭证为2021年11月第17号；</w:t>
      </w:r>
    </w:p>
    <w:p w14:paraId="7350D076">
      <w:pPr>
        <w:pStyle w:val="4"/>
        <w:pageBreakBefore w:val="0"/>
        <w:wordWrap/>
        <w:overflowPunct/>
        <w:topLinePunct w:val="0"/>
        <w:bidi w:val="0"/>
        <w:spacing w:line="560" w:lineRule="exact"/>
        <w:rPr>
          <w:rFonts w:hint="default"/>
          <w:highlight w:val="none"/>
          <w:lang w:val="en-US" w:eastAsia="zh-CN"/>
        </w:rPr>
      </w:pPr>
      <w:r>
        <w:rPr>
          <w:rFonts w:hint="eastAsia"/>
          <w:highlight w:val="none"/>
          <w:lang w:val="en-US" w:eastAsia="zh-CN"/>
        </w:rPr>
        <w:t>（4）单位付电动执法车及餐饮服务培训、餐饮监管显示器费用、餐饮监控，其中电视机4台及电动执法车1台未列入固定资产。涉及凭证金额23,6720.00元，其中购买电视机4台及电动执法车1台为54,796.00元，涉及凭证为2021年12月第34号、第36号。</w:t>
      </w:r>
    </w:p>
    <w:p w14:paraId="7C5462DA">
      <w:pPr>
        <w:pStyle w:val="4"/>
        <w:pageBreakBefore w:val="0"/>
        <w:widowControl w:val="0"/>
        <w:kinsoku/>
        <w:wordWrap/>
        <w:overflowPunct/>
        <w:topLinePunct w:val="0"/>
        <w:autoSpaceDE/>
        <w:autoSpaceDN/>
        <w:bidi w:val="0"/>
        <w:spacing w:line="560" w:lineRule="exact"/>
        <w:ind w:left="0" w:leftChars="0" w:firstLine="643" w:firstLineChars="200"/>
        <w:textAlignment w:val="auto"/>
        <w:outlineLvl w:val="1"/>
        <w:rPr>
          <w:rFonts w:hint="eastAsia" w:ascii="楷体" w:hAnsi="楷体" w:eastAsia="楷体" w:cs="楷体"/>
          <w:b/>
          <w:bCs/>
          <w:color w:val="auto"/>
          <w:lang w:val="en-US" w:eastAsia="zh-CN"/>
        </w:rPr>
      </w:pPr>
      <w:r>
        <w:rPr>
          <w:rFonts w:hint="eastAsia" w:ascii="楷体" w:hAnsi="楷体" w:eastAsia="楷体" w:cs="楷体"/>
          <w:b/>
          <w:bCs/>
          <w:color w:val="auto"/>
          <w:lang w:eastAsia="zh-CN"/>
        </w:rPr>
        <w:t>（</w:t>
      </w:r>
      <w:r>
        <w:rPr>
          <w:rFonts w:hint="eastAsia" w:ascii="楷体" w:hAnsi="楷体" w:eastAsia="楷体" w:cs="楷体"/>
          <w:b/>
          <w:bCs/>
          <w:color w:val="auto"/>
          <w:lang w:val="en-US" w:eastAsia="zh-CN"/>
        </w:rPr>
        <w:t>二</w:t>
      </w:r>
      <w:r>
        <w:rPr>
          <w:rFonts w:hint="eastAsia" w:ascii="楷体" w:hAnsi="楷体" w:eastAsia="楷体" w:cs="楷体"/>
          <w:b/>
          <w:bCs/>
          <w:color w:val="auto"/>
          <w:lang w:eastAsia="zh-CN"/>
        </w:rPr>
        <w:t>）</w:t>
      </w:r>
      <w:r>
        <w:rPr>
          <w:rFonts w:hint="eastAsia" w:ascii="楷体" w:hAnsi="楷体" w:eastAsia="楷体" w:cs="楷体"/>
          <w:b/>
          <w:bCs/>
          <w:color w:val="auto"/>
          <w:lang w:val="en-US" w:eastAsia="zh-CN"/>
        </w:rPr>
        <w:t>改进方向和具体措施</w:t>
      </w:r>
    </w:p>
    <w:p w14:paraId="3ADB2743">
      <w:pPr>
        <w:pageBreakBefore w:val="0"/>
        <w:kinsoku/>
        <w:wordWrap/>
        <w:overflowPunct/>
        <w:topLinePunct w:val="0"/>
        <w:autoSpaceDE/>
        <w:autoSpaceDN/>
        <w:bidi w:val="0"/>
        <w:adjustRightInd w:val="0"/>
        <w:snapToGrid/>
        <w:spacing w:line="560" w:lineRule="exact"/>
        <w:ind w:firstLine="643" w:firstLineChars="200"/>
        <w:outlineLvl w:val="2"/>
        <w:rPr>
          <w:rFonts w:hint="eastAsia" w:ascii="仿宋" w:hAnsi="仿宋" w:eastAsia="仿宋" w:cs="仿宋"/>
          <w:b/>
          <w:color w:val="auto"/>
          <w:sz w:val="32"/>
          <w:szCs w:val="32"/>
          <w:lang w:val="en-US" w:eastAsia="zh-CN"/>
        </w:rPr>
      </w:pPr>
      <w:r>
        <w:rPr>
          <w:rFonts w:hint="eastAsia" w:ascii="仿宋" w:hAnsi="仿宋" w:eastAsia="仿宋" w:cs="仿宋"/>
          <w:b/>
          <w:color w:val="auto"/>
          <w:sz w:val="32"/>
          <w:szCs w:val="32"/>
          <w:lang w:val="en-US" w:eastAsia="zh-CN"/>
        </w:rPr>
        <w:t>1.科学测算部门预算经费，加强部门经费收支偏差控制</w:t>
      </w:r>
    </w:p>
    <w:p w14:paraId="1C809822">
      <w:pPr>
        <w:pStyle w:val="4"/>
        <w:pageBreakBefore w:val="0"/>
        <w:widowControl w:val="0"/>
        <w:kinsoku/>
        <w:wordWrap/>
        <w:overflowPunct/>
        <w:topLinePunct w:val="0"/>
        <w:autoSpaceDE/>
        <w:autoSpaceDN/>
        <w:bidi w:val="0"/>
        <w:spacing w:line="560" w:lineRule="exact"/>
        <w:ind w:firstLine="640" w:firstLineChars="200"/>
        <w:textAlignment w:val="auto"/>
        <w:rPr>
          <w:rFonts w:hint="eastAsia"/>
          <w:color w:val="auto"/>
          <w:lang w:val="en-US" w:eastAsia="zh-CN"/>
        </w:rPr>
      </w:pPr>
      <w:r>
        <w:rPr>
          <w:rFonts w:hint="eastAsia"/>
          <w:color w:val="auto"/>
        </w:rPr>
        <w:t>建议</w:t>
      </w:r>
      <w:r>
        <w:rPr>
          <w:rFonts w:hint="eastAsia"/>
          <w:color w:val="auto"/>
          <w:lang w:val="en-US" w:eastAsia="zh-CN"/>
        </w:rPr>
        <w:t>市场监督管理局分局预算部门在下一年编制项目预算时，除参考上一年支出明细，应全面考虑编制的预算明细按，以免预算中子项目不发生支出或支出过高的情况，合理测算当年度资金的实际需要总额，切实提高财政预算编制合理性。</w:t>
      </w:r>
    </w:p>
    <w:p w14:paraId="2DB61AF5">
      <w:pPr>
        <w:pageBreakBefore w:val="0"/>
        <w:kinsoku/>
        <w:wordWrap/>
        <w:overflowPunct/>
        <w:topLinePunct w:val="0"/>
        <w:autoSpaceDE/>
        <w:autoSpaceDN/>
        <w:bidi w:val="0"/>
        <w:adjustRightInd w:val="0"/>
        <w:snapToGrid/>
        <w:spacing w:line="560" w:lineRule="exact"/>
        <w:ind w:firstLine="643" w:firstLineChars="200"/>
        <w:outlineLvl w:val="2"/>
        <w:rPr>
          <w:rFonts w:hint="eastAsia" w:ascii="仿宋" w:hAnsi="仿宋" w:eastAsia="仿宋" w:cs="仿宋"/>
          <w:b/>
          <w:color w:val="auto"/>
          <w:sz w:val="32"/>
          <w:szCs w:val="32"/>
          <w:lang w:val="en-US" w:eastAsia="zh-CN"/>
        </w:rPr>
      </w:pPr>
      <w:r>
        <w:rPr>
          <w:rFonts w:hint="eastAsia" w:ascii="仿宋" w:hAnsi="仿宋" w:eastAsia="仿宋" w:cs="仿宋"/>
          <w:b/>
          <w:color w:val="auto"/>
          <w:sz w:val="32"/>
          <w:szCs w:val="32"/>
          <w:lang w:val="en-US" w:eastAsia="zh-CN"/>
        </w:rPr>
        <w:t>2.提高部门预算项目各阶段预算执行率</w:t>
      </w:r>
    </w:p>
    <w:p w14:paraId="44D7298A">
      <w:pPr>
        <w:pageBreakBefore w:val="0"/>
        <w:kinsoku/>
        <w:wordWrap/>
        <w:overflowPunct/>
        <w:topLinePunct w:val="0"/>
        <w:autoSpaceDE/>
        <w:autoSpaceDN/>
        <w:bidi w:val="0"/>
        <w:spacing w:line="560" w:lineRule="exact"/>
        <w:ind w:firstLine="640" w:firstLineChars="200"/>
        <w:rPr>
          <w:rFonts w:hint="eastAsia" w:ascii="Times New Roman" w:hAnsi="Times New Roman" w:eastAsia="仿宋_GB2312" w:cs="Times New Roman"/>
          <w:color w:val="auto"/>
          <w:kern w:val="0"/>
          <w:sz w:val="32"/>
          <w:szCs w:val="28"/>
          <w:lang w:val="en-US" w:eastAsia="zh-CN" w:bidi="ar-SA"/>
        </w:rPr>
      </w:pPr>
      <w:r>
        <w:rPr>
          <w:rFonts w:hint="eastAsia" w:ascii="Times New Roman" w:hAnsi="Times New Roman" w:eastAsia="仿宋_GB2312" w:cs="Times New Roman"/>
          <w:color w:val="auto"/>
          <w:kern w:val="0"/>
          <w:sz w:val="32"/>
          <w:szCs w:val="28"/>
          <w:lang w:val="en-US" w:eastAsia="zh-CN" w:bidi="ar-SA"/>
        </w:rPr>
        <w:t>建议市场监督管理局认真审核各项目资金精准性，加快资金进度，并跟踪后续资金补助进展。密切关注预算执行进度和质量，及时分析本部门的预算执行情况，认真剖析影响预算支出执行进度的主要原因，研究对策，加快支出。积极研究资金按阶段支出的消化问题，针对不同类型的结转资金提出具体解决方案，把执行进度作为预算安排的重要依据。</w:t>
      </w:r>
    </w:p>
    <w:p w14:paraId="1EF9D1D5">
      <w:pPr>
        <w:pageBreakBefore w:val="0"/>
        <w:kinsoku/>
        <w:wordWrap/>
        <w:overflowPunct/>
        <w:topLinePunct w:val="0"/>
        <w:autoSpaceDE/>
        <w:autoSpaceDN/>
        <w:bidi w:val="0"/>
        <w:adjustRightInd w:val="0"/>
        <w:snapToGrid/>
        <w:spacing w:line="560" w:lineRule="exact"/>
        <w:ind w:firstLine="643" w:firstLineChars="200"/>
        <w:outlineLvl w:val="2"/>
        <w:rPr>
          <w:rFonts w:hint="eastAsia" w:ascii="仿宋" w:hAnsi="仿宋" w:eastAsia="仿宋" w:cs="仿宋"/>
          <w:b/>
          <w:color w:val="auto"/>
          <w:sz w:val="32"/>
          <w:szCs w:val="32"/>
          <w:lang w:val="en-US" w:eastAsia="zh-CN"/>
        </w:rPr>
      </w:pPr>
      <w:r>
        <w:rPr>
          <w:rFonts w:hint="eastAsia" w:ascii="仿宋" w:hAnsi="仿宋" w:eastAsia="仿宋" w:cs="仿宋"/>
          <w:b/>
          <w:color w:val="auto"/>
          <w:sz w:val="32"/>
          <w:szCs w:val="32"/>
          <w:lang w:val="en-US" w:eastAsia="zh-CN"/>
        </w:rPr>
        <w:t>3.规范日常财务处理相关事务</w:t>
      </w:r>
    </w:p>
    <w:p w14:paraId="2488EAB3">
      <w:pPr>
        <w:pStyle w:val="4"/>
        <w:pageBreakBefore w:val="0"/>
        <w:widowControl w:val="0"/>
        <w:kinsoku/>
        <w:wordWrap/>
        <w:overflowPunct/>
        <w:topLinePunct w:val="0"/>
        <w:autoSpaceDE/>
        <w:autoSpaceDN/>
        <w:bidi w:val="0"/>
        <w:spacing w:line="560" w:lineRule="exact"/>
        <w:ind w:firstLine="640" w:firstLineChars="200"/>
        <w:textAlignment w:val="auto"/>
        <w:rPr>
          <w:rFonts w:hint="eastAsia"/>
          <w:color w:val="auto"/>
          <w:lang w:val="en-US" w:eastAsia="zh-CN"/>
        </w:rPr>
        <w:sectPr>
          <w:pgSz w:w="11906" w:h="16838"/>
          <w:pgMar w:top="1440" w:right="1489" w:bottom="1440" w:left="1797" w:header="851" w:footer="992" w:gutter="0"/>
          <w:pgNumType w:start="1"/>
          <w:cols w:space="425" w:num="1"/>
          <w:docGrid w:type="lines" w:linePitch="312" w:charSpace="0"/>
        </w:sectPr>
      </w:pPr>
      <w:r>
        <w:rPr>
          <w:rFonts w:hint="eastAsia"/>
          <w:color w:val="auto"/>
          <w:lang w:val="en-US" w:eastAsia="zh-CN"/>
        </w:rPr>
        <w:t>建议单位加强规范会计人员日常账务处理基础工作，会计人员要充分认识会计基础工作的重要性，认真学习《会计基础工作规范》和《会计法》的各项规定；加强会计核算，如原始凭证的格式、内容、填制方法、审核程序等符合制度规定的要求;记账凭证内容、填制方法、所附原始凭证、更正错误的方法等符合会计制度要求，并经有关责任人员签章；加大监督检查力度，如将会计基础管理工作列入日常及专项检查的重要内容，实行连带责任追究制，增强责任意识，使会计工作更加规范化、制度化管理。</w:t>
      </w:r>
    </w:p>
    <w:p w14:paraId="1746D74D">
      <w:pPr>
        <w:pStyle w:val="4"/>
        <w:pageBreakBefore w:val="0"/>
        <w:widowControl w:val="0"/>
        <w:numPr>
          <w:ilvl w:val="0"/>
          <w:numId w:val="0"/>
        </w:numPr>
        <w:kinsoku/>
        <w:wordWrap/>
        <w:overflowPunct/>
        <w:topLinePunct w:val="0"/>
        <w:autoSpaceDE/>
        <w:autoSpaceDN/>
        <w:bidi w:val="0"/>
        <w:spacing w:line="560" w:lineRule="exact"/>
        <w:ind w:firstLine="643" w:firstLineChars="200"/>
        <w:textAlignment w:val="auto"/>
        <w:outlineLvl w:val="0"/>
        <w:rPr>
          <w:rFonts w:hint="default"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附件1</w:t>
      </w:r>
      <w:r>
        <w:rPr>
          <w:rFonts w:hint="default" w:ascii="方正小标宋_GBK" w:hAnsi="方正小标宋_GBK" w:eastAsia="方正小标宋_GBK" w:cs="方正小标宋_GBK"/>
          <w:i w:val="0"/>
          <w:iCs w:val="0"/>
          <w:color w:val="auto"/>
          <w:kern w:val="0"/>
          <w:sz w:val="32"/>
          <w:szCs w:val="32"/>
          <w:u w:val="none"/>
          <w:lang w:val="en-US" w:eastAsia="zh-CN" w:bidi="ar"/>
        </w:rPr>
        <w:t>部门整体支出绩效评价指标体系</w:t>
      </w:r>
    </w:p>
    <w:tbl>
      <w:tblPr>
        <w:tblStyle w:val="10"/>
        <w:tblW w:w="4996" w:type="pct"/>
        <w:tblInd w:w="0" w:type="dxa"/>
        <w:shd w:val="clear" w:color="auto" w:fill="auto"/>
        <w:tblLayout w:type="fixed"/>
        <w:tblCellMar>
          <w:top w:w="0" w:type="dxa"/>
          <w:left w:w="108" w:type="dxa"/>
          <w:bottom w:w="0" w:type="dxa"/>
          <w:right w:w="108" w:type="dxa"/>
        </w:tblCellMar>
      </w:tblPr>
      <w:tblGrid>
        <w:gridCol w:w="703"/>
        <w:gridCol w:w="720"/>
        <w:gridCol w:w="1187"/>
        <w:gridCol w:w="2554"/>
        <w:gridCol w:w="4386"/>
        <w:gridCol w:w="911"/>
        <w:gridCol w:w="882"/>
        <w:gridCol w:w="2820"/>
      </w:tblGrid>
      <w:tr w14:paraId="32AD4C02">
        <w:tblPrEx>
          <w:shd w:val="clear" w:color="auto" w:fill="auto"/>
          <w:tblCellMar>
            <w:top w:w="0" w:type="dxa"/>
            <w:left w:w="108" w:type="dxa"/>
            <w:bottom w:w="0" w:type="dxa"/>
            <w:right w:w="108" w:type="dxa"/>
          </w:tblCellMar>
        </w:tblPrEx>
        <w:trPr>
          <w:trHeight w:val="690" w:hRule="atLeast"/>
          <w:tblHeader/>
        </w:trPr>
        <w:tc>
          <w:tcPr>
            <w:tcW w:w="92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7AC2C6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绩效指标</w:t>
            </w:r>
          </w:p>
        </w:tc>
        <w:tc>
          <w:tcPr>
            <w:tcW w:w="90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05325E">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指标解释</w:t>
            </w:r>
          </w:p>
        </w:tc>
        <w:tc>
          <w:tcPr>
            <w:tcW w:w="1548" w:type="pct"/>
            <w:vMerge w:val="restart"/>
            <w:tcBorders>
              <w:top w:val="single" w:color="000000" w:sz="4" w:space="0"/>
              <w:left w:val="nil"/>
              <w:bottom w:val="single" w:color="000000" w:sz="4" w:space="0"/>
              <w:right w:val="single" w:color="000000" w:sz="4" w:space="0"/>
            </w:tcBorders>
            <w:shd w:val="clear" w:color="auto" w:fill="auto"/>
            <w:vAlign w:val="center"/>
          </w:tcPr>
          <w:p w14:paraId="255B725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计分标准</w:t>
            </w:r>
          </w:p>
        </w:tc>
        <w:tc>
          <w:tcPr>
            <w:tcW w:w="32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5AF8B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分值</w:t>
            </w:r>
          </w:p>
        </w:tc>
        <w:tc>
          <w:tcPr>
            <w:tcW w:w="311" w:type="pct"/>
            <w:vMerge w:val="restart"/>
            <w:tcBorders>
              <w:top w:val="single" w:color="000000" w:sz="4" w:space="0"/>
              <w:left w:val="nil"/>
              <w:bottom w:val="single" w:color="000000" w:sz="4" w:space="0"/>
              <w:right w:val="single" w:color="000000" w:sz="4" w:space="0"/>
            </w:tcBorders>
            <w:shd w:val="clear" w:color="auto" w:fill="auto"/>
            <w:vAlign w:val="center"/>
          </w:tcPr>
          <w:p w14:paraId="17224E1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得分</w:t>
            </w:r>
          </w:p>
        </w:tc>
        <w:tc>
          <w:tcPr>
            <w:tcW w:w="995" w:type="pct"/>
            <w:vMerge w:val="restart"/>
            <w:tcBorders>
              <w:top w:val="single" w:color="000000" w:sz="4" w:space="0"/>
              <w:left w:val="nil"/>
              <w:bottom w:val="single" w:color="000000" w:sz="4" w:space="0"/>
              <w:right w:val="single" w:color="000000" w:sz="4" w:space="0"/>
            </w:tcBorders>
            <w:shd w:val="clear" w:color="auto" w:fill="auto"/>
            <w:vAlign w:val="center"/>
          </w:tcPr>
          <w:p w14:paraId="72296E1B">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扣分原因</w:t>
            </w:r>
          </w:p>
        </w:tc>
      </w:tr>
      <w:tr w14:paraId="296EC4BC">
        <w:tblPrEx>
          <w:tblCellMar>
            <w:top w:w="0" w:type="dxa"/>
            <w:left w:w="108" w:type="dxa"/>
            <w:bottom w:w="0" w:type="dxa"/>
            <w:right w:w="108" w:type="dxa"/>
          </w:tblCellMar>
        </w:tblPrEx>
        <w:trPr>
          <w:trHeight w:val="345" w:hRule="atLeast"/>
          <w:tblHeader/>
        </w:trPr>
        <w:tc>
          <w:tcPr>
            <w:tcW w:w="2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B81894">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一级指标</w:t>
            </w:r>
          </w:p>
        </w:tc>
        <w:tc>
          <w:tcPr>
            <w:tcW w:w="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C9B4F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二级指标</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9A82A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三级指标</w:t>
            </w:r>
          </w:p>
        </w:tc>
        <w:tc>
          <w:tcPr>
            <w:tcW w:w="9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0EE31A">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1548" w:type="pct"/>
            <w:vMerge w:val="continue"/>
            <w:tcBorders>
              <w:top w:val="single" w:color="000000" w:sz="4" w:space="0"/>
              <w:left w:val="nil"/>
              <w:bottom w:val="single" w:color="000000" w:sz="4" w:space="0"/>
              <w:right w:val="single" w:color="000000" w:sz="4" w:space="0"/>
            </w:tcBorders>
            <w:shd w:val="clear" w:color="auto" w:fill="auto"/>
            <w:vAlign w:val="center"/>
          </w:tcPr>
          <w:p w14:paraId="73364686">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3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4525FB">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311" w:type="pct"/>
            <w:vMerge w:val="continue"/>
            <w:tcBorders>
              <w:top w:val="single" w:color="000000" w:sz="4" w:space="0"/>
              <w:left w:val="nil"/>
              <w:bottom w:val="single" w:color="000000" w:sz="4" w:space="0"/>
              <w:right w:val="single" w:color="000000" w:sz="4" w:space="0"/>
            </w:tcBorders>
            <w:shd w:val="clear" w:color="auto" w:fill="auto"/>
            <w:vAlign w:val="center"/>
          </w:tcPr>
          <w:p w14:paraId="5C794C94">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995" w:type="pct"/>
            <w:vMerge w:val="continue"/>
            <w:tcBorders>
              <w:top w:val="single" w:color="000000" w:sz="4" w:space="0"/>
              <w:left w:val="nil"/>
              <w:bottom w:val="single" w:color="000000" w:sz="4" w:space="0"/>
              <w:right w:val="single" w:color="000000" w:sz="4" w:space="0"/>
            </w:tcBorders>
            <w:shd w:val="clear" w:color="auto" w:fill="auto"/>
            <w:vAlign w:val="center"/>
          </w:tcPr>
          <w:p w14:paraId="4B62B9CC">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r>
      <w:tr w14:paraId="64DA0A5B">
        <w:tblPrEx>
          <w:tblCellMar>
            <w:top w:w="0" w:type="dxa"/>
            <w:left w:w="108" w:type="dxa"/>
            <w:bottom w:w="0" w:type="dxa"/>
            <w:right w:w="108" w:type="dxa"/>
          </w:tblCellMar>
        </w:tblPrEx>
        <w:trPr>
          <w:trHeight w:val="2160" w:hRule="atLeast"/>
        </w:trPr>
        <w:tc>
          <w:tcPr>
            <w:tcW w:w="24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CFE82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部门预算管理（80分）</w:t>
            </w:r>
          </w:p>
        </w:tc>
        <w:tc>
          <w:tcPr>
            <w:tcW w:w="2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D390A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预算编制（30分）</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22CF44">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目标制定</w:t>
            </w:r>
          </w:p>
        </w:tc>
        <w:tc>
          <w:tcPr>
            <w:tcW w:w="9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622B4A">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评价部门绩效目标是否要素完整、细化量化。</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F6597F">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1.绩效目标编制要素完整的，得5分，否则酌情扣分。                                                       2.绩效指标细化量化的，得5分，否则酌情扣分。                  有项目绩效目标的部门（单位），根据项目绩效目标编制质量打分，无项目绩效目标的部门，根据部门整体支出绩效目标打分。                                                                    </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0349D5">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3C4EAD">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10</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E8A0B6">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591A987E">
        <w:tblPrEx>
          <w:tblCellMar>
            <w:top w:w="0" w:type="dxa"/>
            <w:left w:w="108" w:type="dxa"/>
            <w:bottom w:w="0" w:type="dxa"/>
            <w:right w:w="108" w:type="dxa"/>
          </w:tblCellMar>
        </w:tblPrEx>
        <w:trPr>
          <w:trHeight w:val="2805" w:hRule="atLeast"/>
        </w:trPr>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ABB24C">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82C037">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86F7C6">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目标实现</w:t>
            </w:r>
          </w:p>
        </w:tc>
        <w:tc>
          <w:tcPr>
            <w:tcW w:w="9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59EACA">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评价部门绩效目标实际实现程度与预期目标的偏离度。</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4755D7">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以项目完成数量为核心，评价项目实际完成情况与预期绩效目标偏离度，单个数量指标实际完成未达到预期指标或超过预期指标30%以上的，均不计分。该项指标得分=达到预期值的数量指标个数/全部数量指标个数（即评价选取的项目绩效目标包含的所有数量指标）</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B27A67">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D8A842">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5A800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5755BC97">
        <w:tblPrEx>
          <w:tblCellMar>
            <w:top w:w="0" w:type="dxa"/>
            <w:left w:w="108" w:type="dxa"/>
            <w:bottom w:w="0" w:type="dxa"/>
            <w:right w:w="108" w:type="dxa"/>
          </w:tblCellMar>
        </w:tblPrEx>
        <w:trPr>
          <w:trHeight w:val="1780" w:hRule="atLeast"/>
        </w:trPr>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072551">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5DEED7">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58938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编制准确</w:t>
            </w:r>
          </w:p>
        </w:tc>
        <w:tc>
          <w:tcPr>
            <w:tcW w:w="9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799EB0">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评价部门年初预算编制是否科学准确。</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1798DB">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指标得分=（1-（10×部门全年预算调剂金额/年初部门预算数））*指标分值。其中：若部门全年预算调剂金额/年初部门预算数&gt;0.1，此项得0分。</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A550C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DC0AF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04ABF7">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单位2021年预算数为679.03万元，调整预算为582.83万元，支出决算数为582.83万元。</w:t>
            </w:r>
          </w:p>
          <w:p w14:paraId="467B56A2">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部门全年预算调剂金额/年初部门预算数=0.14&gt;0.1</w:t>
            </w:r>
          </w:p>
        </w:tc>
      </w:tr>
      <w:tr w14:paraId="42E12E3F">
        <w:tblPrEx>
          <w:tblCellMar>
            <w:top w:w="0" w:type="dxa"/>
            <w:left w:w="108" w:type="dxa"/>
            <w:bottom w:w="0" w:type="dxa"/>
            <w:right w:w="108" w:type="dxa"/>
          </w:tblCellMar>
        </w:tblPrEx>
        <w:trPr>
          <w:trHeight w:val="2059" w:hRule="atLeast"/>
        </w:trPr>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9D1E80">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2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E6D7BA">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预算执行（30分）</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F12B4B">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支出控制</w:t>
            </w:r>
          </w:p>
        </w:tc>
        <w:tc>
          <w:tcPr>
            <w:tcW w:w="9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F1FE7B">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部门公用经费及非定额公用支出控制情况。</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73E074">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计算部门日常公用经费、项目支出中“办公费、印刷费、水费、电费、物业管理费”等科目年初预算数与决算数偏差程度                                                              预决算偏差程度在10%以内的，得10分。偏差度在10%-20%之间的，得5分，偏差度超过20%的，不得分。</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FFDC1A">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0D5288">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336B47">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年初预算数为86.85万元，决算数为69.63万元，预决算偏差程度为19.83%</w:t>
            </w:r>
          </w:p>
        </w:tc>
      </w:tr>
      <w:tr w14:paraId="56192CCC">
        <w:tblPrEx>
          <w:tblCellMar>
            <w:top w:w="0" w:type="dxa"/>
            <w:left w:w="108" w:type="dxa"/>
            <w:bottom w:w="0" w:type="dxa"/>
            <w:right w:w="108" w:type="dxa"/>
          </w:tblCellMar>
        </w:tblPrEx>
        <w:trPr>
          <w:trHeight w:val="3120" w:hRule="atLeast"/>
        </w:trPr>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FE48E9">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35731D">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99652B">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动态调整</w:t>
            </w:r>
          </w:p>
        </w:tc>
        <w:tc>
          <w:tcPr>
            <w:tcW w:w="9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C46048">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评价部门开展绩效运行监控后，将绩效监控结果应用到预算调整的情况。</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A79A68">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1.当部门绩效监控调整取消额和结余注销额均不为零时，指标得分=部门项目支出绩效监控调整取消额÷(部门绩效监控调整取消额+预算结余注销额）*10                                                  2.当部门绩效监控调整取消额为零，结余注销额不为零时，指标得分=（1-10*结余注销额/年度预算总额）*10，结余注销额超过部门年度预算总额10%的，指标不得分。                  3.当部门绩效监控调整取消额与结余注销额均为零时，得满分。                                                             </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65165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577C68">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9A1034">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6AA41938">
        <w:tblPrEx>
          <w:tblCellMar>
            <w:top w:w="0" w:type="dxa"/>
            <w:left w:w="108" w:type="dxa"/>
            <w:bottom w:w="0" w:type="dxa"/>
            <w:right w:w="108" w:type="dxa"/>
          </w:tblCellMar>
        </w:tblPrEx>
        <w:trPr>
          <w:trHeight w:val="2010" w:hRule="atLeast"/>
        </w:trPr>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DD4DC7">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89913E">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0652D8">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执行进度</w:t>
            </w:r>
          </w:p>
        </w:tc>
        <w:tc>
          <w:tcPr>
            <w:tcW w:w="9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65B469">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评价部门在6、9、11月的预算执行情况。</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07771D">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部门预算执行进度在6、9、11月应达到序时进度的80%、90%、90%，即实际支出进度分别达到40%、67.5%、82.5%。                                                     6、9、11月部门预算执行进度达到量化指标的分别得3、4、3分，未达到目标进度的按其实际进度占目标进度的比重计算得分。                                             </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BD9786">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9E4BF8">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63C902">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6月、9月、10月预算执行进度分别为26.85%、43.17%、67.31%（实际支出金额分别为184.36万元、317.68万元、392.13万元），未分别达到40%、67.5%、82.5%预算执行进度</w:t>
            </w:r>
          </w:p>
        </w:tc>
      </w:tr>
      <w:tr w14:paraId="521E50B1">
        <w:tblPrEx>
          <w:tblCellMar>
            <w:top w:w="0" w:type="dxa"/>
            <w:left w:w="108" w:type="dxa"/>
            <w:bottom w:w="0" w:type="dxa"/>
            <w:right w:w="108" w:type="dxa"/>
          </w:tblCellMar>
        </w:tblPrEx>
        <w:trPr>
          <w:trHeight w:val="1380" w:hRule="atLeast"/>
        </w:trPr>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A6CDCC">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2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D9A602">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完成结果（20分）</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0AEE2A">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预算完成</w:t>
            </w:r>
          </w:p>
        </w:tc>
        <w:tc>
          <w:tcPr>
            <w:tcW w:w="9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2B978A">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评价部门预算项目年终预算执行情况。</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581921">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部门预算项目12月预算执行进度达到100%的，得10分，未达100%的，按照实际进度量化计算得分。</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955B60">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9E8ADE">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1CBB5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02ECD386">
        <w:tblPrEx>
          <w:tblCellMar>
            <w:top w:w="0" w:type="dxa"/>
            <w:left w:w="108" w:type="dxa"/>
            <w:bottom w:w="0" w:type="dxa"/>
            <w:right w:w="108" w:type="dxa"/>
          </w:tblCellMar>
        </w:tblPrEx>
        <w:trPr>
          <w:trHeight w:val="1080" w:hRule="atLeast"/>
        </w:trPr>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CAF6D4">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58D285">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DB11D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违规记录</w:t>
            </w:r>
          </w:p>
        </w:tc>
        <w:tc>
          <w:tcPr>
            <w:tcW w:w="9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ABFC5F">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根据审计监督、财政检查结果反映部门上一年度部门预算管理是否合规。</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64259A">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依据评价年度审计监督、财政检查结果，出现部门预算管理方面违纪违规问题的，每个问题扣0.5分，直至扣完。</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B396F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A4BEEE">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BF1885">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1C1191F4">
        <w:tblPrEx>
          <w:tblCellMar>
            <w:top w:w="0" w:type="dxa"/>
            <w:left w:w="108" w:type="dxa"/>
            <w:bottom w:w="0" w:type="dxa"/>
            <w:right w:w="108" w:type="dxa"/>
          </w:tblCellMar>
        </w:tblPrEx>
        <w:trPr>
          <w:trHeight w:val="1740" w:hRule="atLeast"/>
        </w:trPr>
        <w:tc>
          <w:tcPr>
            <w:tcW w:w="24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493B9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绩效结果应用（10分）</w:t>
            </w:r>
          </w:p>
        </w:tc>
        <w:tc>
          <w:tcPr>
            <w:tcW w:w="254" w:type="pct"/>
            <w:tcBorders>
              <w:top w:val="nil"/>
              <w:left w:val="single" w:color="000000" w:sz="4" w:space="0"/>
              <w:bottom w:val="single" w:color="000000" w:sz="4" w:space="0"/>
              <w:right w:val="single" w:color="000000" w:sz="4" w:space="0"/>
            </w:tcBorders>
            <w:shd w:val="clear" w:color="auto" w:fill="auto"/>
            <w:vAlign w:val="center"/>
          </w:tcPr>
          <w:p w14:paraId="0945C6F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信息公开（2分)</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A0D82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自评公开</w:t>
            </w:r>
          </w:p>
        </w:tc>
        <w:tc>
          <w:tcPr>
            <w:tcW w:w="9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5B7375">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评价部门是否按要求将部门整体绩效自评情况和自行组织的评价情况向社会公开。</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578027">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按要求将相关绩效信息随同决算公开的，得2分，否则不得分。</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CC70B7">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3A8E58">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656306">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40D98B98">
        <w:tblPrEx>
          <w:tblCellMar>
            <w:top w:w="0" w:type="dxa"/>
            <w:left w:w="108" w:type="dxa"/>
            <w:bottom w:w="0" w:type="dxa"/>
            <w:right w:w="108" w:type="dxa"/>
          </w:tblCellMar>
        </w:tblPrEx>
        <w:trPr>
          <w:trHeight w:val="1740" w:hRule="atLeast"/>
        </w:trPr>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C624FA">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2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A5999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整改反馈（8分）</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2AEF62">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结果整改</w:t>
            </w:r>
          </w:p>
        </w:tc>
        <w:tc>
          <w:tcPr>
            <w:tcW w:w="9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A5B6BB">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评价部门根据绩效管理结果整改问题、完善政策、改进管理的情况。</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02CCF3">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针对绩效管理过程中（包括绩效目标核查、绩效监控核查和重点绩效评价）提出的问题进行整改，将绩效管理结果应用于完善政策、改进管理、预算挂钩等的，得4分。否则，酌情扣分。</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257B8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E24DD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467FA7">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10795065">
        <w:tblPrEx>
          <w:tblCellMar>
            <w:top w:w="0" w:type="dxa"/>
            <w:left w:w="108" w:type="dxa"/>
            <w:bottom w:w="0" w:type="dxa"/>
            <w:right w:w="108" w:type="dxa"/>
          </w:tblCellMar>
        </w:tblPrEx>
        <w:trPr>
          <w:trHeight w:val="1320" w:hRule="atLeast"/>
        </w:trPr>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A877EB">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B00C0B">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C2A75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应用反馈</w:t>
            </w:r>
          </w:p>
        </w:tc>
        <w:tc>
          <w:tcPr>
            <w:tcW w:w="9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F98C74">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评价部门按要求及时向财政部门反馈结果应用情况。</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FDBA6F">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部门在规定时间内向财政部门反馈应用绩效结果报告的，得满分，否则不得分。</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B68818">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C3971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61882B">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644E677C">
        <w:tblPrEx>
          <w:tblCellMar>
            <w:top w:w="0" w:type="dxa"/>
            <w:left w:w="108" w:type="dxa"/>
            <w:bottom w:w="0" w:type="dxa"/>
            <w:right w:w="108" w:type="dxa"/>
          </w:tblCellMar>
        </w:tblPrEx>
        <w:trPr>
          <w:trHeight w:val="1248" w:hRule="atLeast"/>
        </w:trPr>
        <w:tc>
          <w:tcPr>
            <w:tcW w:w="2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7BBA78">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自评质量（10分）</w:t>
            </w:r>
          </w:p>
        </w:tc>
        <w:tc>
          <w:tcPr>
            <w:tcW w:w="254" w:type="pct"/>
            <w:tcBorders>
              <w:top w:val="nil"/>
              <w:left w:val="single" w:color="000000" w:sz="4" w:space="0"/>
              <w:bottom w:val="single" w:color="000000" w:sz="4" w:space="0"/>
              <w:right w:val="single" w:color="000000" w:sz="4" w:space="0"/>
            </w:tcBorders>
            <w:shd w:val="clear" w:color="auto" w:fill="auto"/>
            <w:vAlign w:val="center"/>
          </w:tcPr>
          <w:p w14:paraId="5955B85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自评质量（10分）</w:t>
            </w:r>
          </w:p>
        </w:tc>
        <w:tc>
          <w:tcPr>
            <w:tcW w:w="419" w:type="pct"/>
            <w:tcBorders>
              <w:top w:val="nil"/>
              <w:left w:val="single" w:color="000000" w:sz="4" w:space="0"/>
              <w:bottom w:val="single" w:color="000000" w:sz="4" w:space="0"/>
              <w:right w:val="single" w:color="000000" w:sz="4" w:space="0"/>
            </w:tcBorders>
            <w:shd w:val="clear" w:color="auto" w:fill="auto"/>
            <w:vAlign w:val="center"/>
          </w:tcPr>
          <w:p w14:paraId="718B410A">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自评准确</w:t>
            </w:r>
          </w:p>
        </w:tc>
        <w:tc>
          <w:tcPr>
            <w:tcW w:w="901" w:type="pct"/>
            <w:tcBorders>
              <w:top w:val="nil"/>
              <w:left w:val="single" w:color="000000" w:sz="4" w:space="0"/>
              <w:bottom w:val="single" w:color="000000" w:sz="4" w:space="0"/>
              <w:right w:val="single" w:color="000000" w:sz="4" w:space="0"/>
            </w:tcBorders>
            <w:shd w:val="clear" w:color="auto" w:fill="auto"/>
            <w:vAlign w:val="center"/>
          </w:tcPr>
          <w:p w14:paraId="4487903C">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评价部门整体支出自评准确率。</w:t>
            </w:r>
          </w:p>
        </w:tc>
        <w:tc>
          <w:tcPr>
            <w:tcW w:w="1548" w:type="pct"/>
            <w:tcBorders>
              <w:top w:val="nil"/>
              <w:left w:val="single" w:color="000000" w:sz="4" w:space="0"/>
              <w:bottom w:val="single" w:color="000000" w:sz="4" w:space="0"/>
              <w:right w:val="single" w:color="000000" w:sz="4" w:space="0"/>
            </w:tcBorders>
            <w:shd w:val="clear" w:color="auto" w:fill="auto"/>
            <w:vAlign w:val="center"/>
          </w:tcPr>
          <w:p w14:paraId="6CA2E8F2">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部门整体支出自评得分与评价组抽查得分差异在5%以内的，不扣分；在5%-10%之间的，扣4分，在10%-20%的，扣8分，在20%以上的，扣10分。（部门在自评时，此项指标无需打分，部门自评满分为90分）</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1BD0C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746C57">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E88FC0">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自评为70分，评价组评分为64分，差异为8.67%</w:t>
            </w:r>
          </w:p>
        </w:tc>
      </w:tr>
      <w:tr w14:paraId="1E1195F7">
        <w:tblPrEx>
          <w:tblCellMar>
            <w:top w:w="0" w:type="dxa"/>
            <w:left w:w="108" w:type="dxa"/>
            <w:bottom w:w="0" w:type="dxa"/>
            <w:right w:w="108" w:type="dxa"/>
          </w:tblCellMar>
        </w:tblPrEx>
        <w:trPr>
          <w:trHeight w:val="560" w:hRule="atLeast"/>
        </w:trPr>
        <w:tc>
          <w:tcPr>
            <w:tcW w:w="337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BF18CD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合计</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274578">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100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F7C35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71</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8F928D">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r>
      <w:tr w14:paraId="411D718C">
        <w:tblPrEx>
          <w:tblCellMar>
            <w:top w:w="0" w:type="dxa"/>
            <w:left w:w="108" w:type="dxa"/>
            <w:bottom w:w="0" w:type="dxa"/>
            <w:right w:w="108" w:type="dxa"/>
          </w:tblCellMar>
        </w:tblPrEx>
        <w:trPr>
          <w:trHeight w:val="560" w:hRule="atLeast"/>
        </w:trPr>
        <w:tc>
          <w:tcPr>
            <w:tcW w:w="3693"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B641DE1">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评价等级</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390670">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中</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B7A6D5">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r>
    </w:tbl>
    <w:p w14:paraId="7AED558F">
      <w:pPr>
        <w:pStyle w:val="17"/>
        <w:pageBreakBefore w:val="0"/>
        <w:kinsoku/>
        <w:wordWrap/>
        <w:overflowPunct/>
        <w:topLinePunct w:val="0"/>
        <w:autoSpaceDE/>
        <w:autoSpaceDN/>
        <w:bidi w:val="0"/>
        <w:spacing w:line="560" w:lineRule="exact"/>
        <w:ind w:firstLine="420" w:firstLineChars="200"/>
        <w:jc w:val="both"/>
        <w:textAlignment w:val="auto"/>
        <w:rPr>
          <w:rFonts w:hint="eastAsia" w:eastAsia="宋体" w:cs="宋体"/>
          <w:color w:val="auto"/>
          <w:lang w:val="en-US" w:eastAsia="zh-CN"/>
        </w:rPr>
      </w:pPr>
    </w:p>
    <w:p w14:paraId="7DD45FB4">
      <w:pPr>
        <w:pStyle w:val="17"/>
        <w:pageBreakBefore w:val="0"/>
        <w:kinsoku/>
        <w:wordWrap/>
        <w:overflowPunct/>
        <w:topLinePunct w:val="0"/>
        <w:autoSpaceDE/>
        <w:autoSpaceDN/>
        <w:bidi w:val="0"/>
        <w:spacing w:line="560" w:lineRule="exact"/>
        <w:ind w:firstLine="420" w:firstLineChars="200"/>
        <w:jc w:val="both"/>
        <w:textAlignment w:val="auto"/>
        <w:rPr>
          <w:rFonts w:hint="default" w:eastAsia="宋体" w:cs="宋体"/>
          <w:color w:val="auto"/>
          <w:lang w:val="en-US" w:eastAsia="zh-CN"/>
        </w:rPr>
      </w:pPr>
    </w:p>
    <w:p w14:paraId="023056F6">
      <w:pPr>
        <w:pStyle w:val="4"/>
        <w:pageBreakBefore w:val="0"/>
        <w:kinsoku/>
        <w:wordWrap/>
        <w:overflowPunct/>
        <w:topLinePunct w:val="0"/>
        <w:autoSpaceDE/>
        <w:autoSpaceDN/>
        <w:bidi w:val="0"/>
        <w:spacing w:line="560" w:lineRule="exact"/>
        <w:ind w:firstLine="640" w:firstLineChars="200"/>
        <w:textAlignment w:val="auto"/>
        <w:rPr>
          <w:rFonts w:hint="eastAsia" w:eastAsia="仿宋_GB2312"/>
          <w:color w:val="auto"/>
          <w:lang w:val="en-US" w:eastAsia="zh-CN"/>
        </w:rPr>
      </w:pPr>
    </w:p>
    <w:p w14:paraId="61C43425">
      <w:pPr>
        <w:pStyle w:val="4"/>
        <w:pageBreakBefore w:val="0"/>
        <w:widowControl w:val="0"/>
        <w:kinsoku/>
        <w:wordWrap/>
        <w:overflowPunct/>
        <w:topLinePunct w:val="0"/>
        <w:autoSpaceDE/>
        <w:autoSpaceDN/>
        <w:bidi w:val="0"/>
        <w:spacing w:line="560" w:lineRule="exact"/>
        <w:ind w:firstLine="640" w:firstLineChars="200"/>
        <w:textAlignment w:val="auto"/>
        <w:rPr>
          <w:rFonts w:hint="default"/>
          <w:color w:val="auto"/>
          <w:lang w:val="en-US" w:eastAsia="zh-CN"/>
        </w:rPr>
        <w:sectPr>
          <w:pgSz w:w="16838" w:h="11906" w:orient="landscape"/>
          <w:pgMar w:top="1797" w:right="1440" w:bottom="1489" w:left="1440" w:header="851" w:footer="992" w:gutter="0"/>
          <w:pgNumType w:start="1"/>
          <w:cols w:space="425" w:num="1"/>
          <w:docGrid w:type="lines" w:linePitch="312" w:charSpace="0"/>
        </w:sectPr>
      </w:pPr>
    </w:p>
    <w:p w14:paraId="7513D891">
      <w:pPr>
        <w:keepNext w:val="0"/>
        <w:keepLines w:val="0"/>
        <w:pageBreakBefore w:val="0"/>
        <w:widowControl/>
        <w:kinsoku/>
        <w:wordWrap/>
        <w:overflowPunct/>
        <w:topLinePunct w:val="0"/>
        <w:autoSpaceDE/>
        <w:autoSpaceDN/>
        <w:bidi w:val="0"/>
        <w:adjustRightInd w:val="0"/>
        <w:snapToGrid w:val="0"/>
        <w:spacing w:line="560" w:lineRule="exact"/>
        <w:ind w:firstLine="0" w:firstLineChars="0"/>
        <w:jc w:val="center"/>
        <w:textAlignment w:val="auto"/>
        <w:outlineLvl w:val="0"/>
        <w:rPr>
          <w:rFonts w:ascii="Times New Roman" w:hAnsi="Times New Roman" w:eastAsia="小标宋" w:cs="Times New Roman"/>
          <w:b/>
          <w:color w:val="auto"/>
          <w:sz w:val="44"/>
          <w:szCs w:val="44"/>
        </w:rPr>
      </w:pPr>
    </w:p>
    <w:p w14:paraId="442ACB00">
      <w:pPr>
        <w:keepNext w:val="0"/>
        <w:keepLines w:val="0"/>
        <w:pageBreakBefore w:val="0"/>
        <w:widowControl/>
        <w:kinsoku/>
        <w:wordWrap/>
        <w:overflowPunct/>
        <w:topLinePunct w:val="0"/>
        <w:autoSpaceDE/>
        <w:autoSpaceDN/>
        <w:bidi w:val="0"/>
        <w:adjustRightInd w:val="0"/>
        <w:snapToGrid w:val="0"/>
        <w:spacing w:line="560" w:lineRule="exact"/>
        <w:ind w:firstLine="0" w:firstLineChars="0"/>
        <w:jc w:val="center"/>
        <w:textAlignment w:val="auto"/>
        <w:outlineLvl w:val="0"/>
        <w:rPr>
          <w:rFonts w:ascii="Times New Roman" w:hAnsi="Times New Roman" w:eastAsia="小标宋" w:cs="Times New Roman"/>
          <w:b/>
          <w:color w:val="auto"/>
          <w:sz w:val="44"/>
          <w:szCs w:val="44"/>
        </w:rPr>
      </w:pPr>
    </w:p>
    <w:p w14:paraId="3742E011">
      <w:pPr>
        <w:keepNext w:val="0"/>
        <w:keepLines w:val="0"/>
        <w:pageBreakBefore w:val="0"/>
        <w:widowControl/>
        <w:kinsoku/>
        <w:wordWrap/>
        <w:overflowPunct/>
        <w:topLinePunct w:val="0"/>
        <w:autoSpaceDE/>
        <w:autoSpaceDN/>
        <w:bidi w:val="0"/>
        <w:adjustRightInd w:val="0"/>
        <w:snapToGrid w:val="0"/>
        <w:spacing w:line="560" w:lineRule="exact"/>
        <w:ind w:firstLine="0" w:firstLineChars="0"/>
        <w:jc w:val="center"/>
        <w:textAlignment w:val="auto"/>
        <w:outlineLvl w:val="0"/>
        <w:rPr>
          <w:rFonts w:hint="eastAsia" w:ascii="Times New Roman" w:hAnsi="Times New Roman" w:eastAsia="小标宋" w:cs="Times New Roman"/>
          <w:b/>
          <w:color w:val="auto"/>
          <w:sz w:val="44"/>
          <w:szCs w:val="44"/>
          <w:lang w:val="en-US" w:eastAsia="zh-CN"/>
        </w:rPr>
      </w:pPr>
      <w:r>
        <w:rPr>
          <w:rFonts w:ascii="Times New Roman" w:hAnsi="Times New Roman" w:eastAsia="小标宋" w:cs="Times New Roman"/>
          <w:b/>
          <w:color w:val="auto"/>
          <w:sz w:val="44"/>
          <w:szCs w:val="44"/>
        </w:rPr>
        <w:t>20</w:t>
      </w:r>
      <w:r>
        <w:rPr>
          <w:rFonts w:hint="eastAsia" w:ascii="Times New Roman" w:hAnsi="Times New Roman" w:eastAsia="小标宋" w:cs="Times New Roman"/>
          <w:b/>
          <w:color w:val="auto"/>
          <w:sz w:val="44"/>
          <w:szCs w:val="44"/>
          <w:lang w:val="en-US" w:eastAsia="zh-CN"/>
        </w:rPr>
        <w:t>21</w:t>
      </w:r>
      <w:r>
        <w:rPr>
          <w:rFonts w:ascii="Times New Roman" w:hAnsi="Times New Roman" w:eastAsia="小标宋" w:cs="Times New Roman"/>
          <w:b/>
          <w:color w:val="auto"/>
          <w:sz w:val="44"/>
          <w:szCs w:val="44"/>
        </w:rPr>
        <w:t>年</w:t>
      </w:r>
      <w:r>
        <w:rPr>
          <w:rFonts w:hint="eastAsia" w:ascii="Times New Roman" w:hAnsi="Times New Roman" w:eastAsia="小标宋" w:cs="Times New Roman"/>
          <w:b/>
          <w:color w:val="auto"/>
          <w:sz w:val="44"/>
          <w:szCs w:val="44"/>
          <w:lang w:eastAsia="zh-CN"/>
        </w:rPr>
        <w:t>遂宁市河东新区</w:t>
      </w:r>
      <w:r>
        <w:rPr>
          <w:rFonts w:hint="eastAsia" w:ascii="Times New Roman" w:hAnsi="Times New Roman" w:eastAsia="小标宋" w:cs="Times New Roman"/>
          <w:b/>
          <w:color w:val="auto"/>
          <w:sz w:val="44"/>
          <w:szCs w:val="44"/>
          <w:lang w:val="en-US" w:eastAsia="zh-CN"/>
        </w:rPr>
        <w:t>房屋征收事务中心</w:t>
      </w:r>
    </w:p>
    <w:p w14:paraId="0E09D18A">
      <w:pPr>
        <w:keepNext w:val="0"/>
        <w:keepLines w:val="0"/>
        <w:pageBreakBefore w:val="0"/>
        <w:widowControl/>
        <w:kinsoku/>
        <w:wordWrap/>
        <w:overflowPunct/>
        <w:topLinePunct w:val="0"/>
        <w:autoSpaceDE/>
        <w:autoSpaceDN/>
        <w:bidi w:val="0"/>
        <w:adjustRightInd w:val="0"/>
        <w:snapToGrid w:val="0"/>
        <w:spacing w:line="560" w:lineRule="exact"/>
        <w:ind w:firstLine="0" w:firstLineChars="0"/>
        <w:jc w:val="center"/>
        <w:textAlignment w:val="auto"/>
        <w:outlineLvl w:val="0"/>
        <w:rPr>
          <w:rFonts w:ascii="小标宋" w:hAnsi="方正小标宋_GBK" w:eastAsia="小标宋" w:cs="Times New Roman"/>
          <w:b/>
          <w:color w:val="auto"/>
          <w:sz w:val="44"/>
          <w:szCs w:val="44"/>
        </w:rPr>
      </w:pPr>
      <w:r>
        <w:rPr>
          <w:rFonts w:hint="eastAsia" w:ascii="Times New Roman" w:hAnsi="Times New Roman" w:eastAsia="小标宋" w:cs="Times New Roman"/>
          <w:b/>
          <w:color w:val="auto"/>
          <w:sz w:val="44"/>
          <w:szCs w:val="44"/>
        </w:rPr>
        <w:t>部门整体支出绩效评价报告</w:t>
      </w:r>
    </w:p>
    <w:p w14:paraId="06449B23">
      <w:pPr>
        <w:pStyle w:val="4"/>
        <w:pageBreakBefore w:val="0"/>
        <w:kinsoku/>
        <w:wordWrap/>
        <w:overflowPunct/>
        <w:topLinePunct w:val="0"/>
        <w:autoSpaceDE/>
        <w:autoSpaceDN/>
        <w:bidi w:val="0"/>
        <w:spacing w:line="560" w:lineRule="exact"/>
        <w:ind w:left="0" w:leftChars="0" w:firstLine="0" w:firstLineChars="0"/>
        <w:textAlignment w:val="auto"/>
        <w:rPr>
          <w:rFonts w:hint="eastAsia"/>
          <w:color w:val="auto"/>
        </w:rPr>
      </w:pPr>
    </w:p>
    <w:p w14:paraId="14CF7FC5">
      <w:pPr>
        <w:pStyle w:val="4"/>
        <w:keepNext w:val="0"/>
        <w:keepLines w:val="0"/>
        <w:pageBreakBefore w:val="0"/>
        <w:widowControl/>
        <w:kinsoku/>
        <w:wordWrap/>
        <w:overflowPunct/>
        <w:topLinePunct w:val="0"/>
        <w:autoSpaceDE/>
        <w:autoSpaceDN/>
        <w:bidi w:val="0"/>
        <w:adjustRightInd w:val="0"/>
        <w:snapToGrid w:val="0"/>
        <w:spacing w:line="680" w:lineRule="exact"/>
        <w:ind w:left="0" w:leftChars="0" w:firstLine="0" w:firstLineChars="0"/>
        <w:textAlignment w:val="auto"/>
        <w:rPr>
          <w:rFonts w:hint="eastAsia"/>
          <w:color w:val="auto"/>
        </w:rPr>
      </w:pPr>
      <w:r>
        <w:rPr>
          <w:rFonts w:hint="eastAsia"/>
          <w:color w:val="auto"/>
        </w:rPr>
        <w:t>遂宁市河东新区财政金融国资管理局：</w:t>
      </w:r>
    </w:p>
    <w:p w14:paraId="5AFFCE40">
      <w:pPr>
        <w:pStyle w:val="4"/>
        <w:keepNext w:val="0"/>
        <w:keepLines w:val="0"/>
        <w:pageBreakBefore w:val="0"/>
        <w:widowControl/>
        <w:kinsoku/>
        <w:wordWrap/>
        <w:overflowPunct/>
        <w:topLinePunct w:val="0"/>
        <w:autoSpaceDE/>
        <w:autoSpaceDN/>
        <w:bidi w:val="0"/>
        <w:adjustRightInd w:val="0"/>
        <w:snapToGrid w:val="0"/>
        <w:spacing w:line="680" w:lineRule="exact"/>
        <w:ind w:firstLine="640" w:firstLineChars="200"/>
        <w:textAlignment w:val="auto"/>
        <w:rPr>
          <w:rFonts w:hint="eastAsia"/>
          <w:color w:val="auto"/>
        </w:rPr>
      </w:pPr>
      <w:r>
        <w:rPr>
          <w:rFonts w:hint="eastAsia"/>
          <w:color w:val="auto"/>
        </w:rPr>
        <w:t>我们接受委托，对</w:t>
      </w:r>
      <w:r>
        <w:rPr>
          <w:rFonts w:hint="eastAsia"/>
          <w:color w:val="auto"/>
          <w:lang w:eastAsia="zh-CN"/>
        </w:rPr>
        <w:t>房屋征收事务中心</w:t>
      </w:r>
      <w:r>
        <w:rPr>
          <w:rFonts w:hint="eastAsia"/>
          <w:color w:val="auto"/>
          <w:lang w:val="en-US" w:eastAsia="zh-CN"/>
        </w:rPr>
        <w:t>部门整体</w:t>
      </w:r>
      <w:r>
        <w:rPr>
          <w:rFonts w:hint="eastAsia"/>
          <w:color w:val="auto"/>
        </w:rPr>
        <w:t>进行绩效评价。</w:t>
      </w:r>
      <w:r>
        <w:rPr>
          <w:rFonts w:hint="eastAsia"/>
          <w:color w:val="auto"/>
          <w:lang w:eastAsia="zh-CN"/>
        </w:rPr>
        <w:t>房屋征收事务中心</w:t>
      </w:r>
      <w:r>
        <w:rPr>
          <w:rFonts w:hint="eastAsia"/>
          <w:color w:val="auto"/>
        </w:rPr>
        <w:t>对提供的相关资料的真实性、合法性、完整性负责。我们的责任是在</w:t>
      </w:r>
      <w:r>
        <w:rPr>
          <w:rFonts w:hint="eastAsia"/>
          <w:color w:val="auto"/>
          <w:lang w:eastAsia="zh-CN"/>
        </w:rPr>
        <w:t>房屋征收事务中心</w:t>
      </w:r>
      <w:r>
        <w:rPr>
          <w:rFonts w:hint="eastAsia"/>
          <w:color w:val="auto"/>
        </w:rPr>
        <w:t>提供的资料基础上发表绩效评价意见。我们依据《中共四川省委 四川省人民政府 关于全面实施预算绩效管理的实施意见》（川委发〔2019〕8号）、财政部《项目支出绩效评价管理办法》(财预〔2020〕10号）和四川省财政厅《关于四川省财政支出绩效评价操作规程（试行）》（川财绩〔2018〕2号）、遂宁市河东新区财政金融国资管理局《关于开展2022年财政重点绩效评价工作的通知》（遂东区财发〔2022〕8号）等相关文件规定基础上进行绩效评价工作。</w:t>
      </w:r>
    </w:p>
    <w:p w14:paraId="43F4C03B">
      <w:pPr>
        <w:pStyle w:val="4"/>
        <w:keepNext w:val="0"/>
        <w:keepLines w:val="0"/>
        <w:pageBreakBefore w:val="0"/>
        <w:widowControl/>
        <w:kinsoku/>
        <w:wordWrap/>
        <w:overflowPunct/>
        <w:topLinePunct w:val="0"/>
        <w:autoSpaceDE/>
        <w:autoSpaceDN/>
        <w:bidi w:val="0"/>
        <w:adjustRightInd w:val="0"/>
        <w:snapToGrid w:val="0"/>
        <w:spacing w:line="680" w:lineRule="exact"/>
        <w:ind w:firstLine="640" w:firstLineChars="200"/>
        <w:textAlignment w:val="auto"/>
        <w:rPr>
          <w:rFonts w:hint="eastAsia"/>
          <w:color w:val="auto"/>
        </w:rPr>
        <w:sectPr>
          <w:footerReference r:id="rId12" w:type="default"/>
          <w:pgSz w:w="11906" w:h="16838"/>
          <w:pgMar w:top="1440" w:right="1489" w:bottom="1440" w:left="1797" w:header="851" w:footer="992" w:gutter="0"/>
          <w:pgNumType w:start="1"/>
          <w:cols w:space="425" w:num="1"/>
          <w:docGrid w:type="lines" w:linePitch="312" w:charSpace="0"/>
        </w:sectPr>
      </w:pPr>
      <w:r>
        <w:rPr>
          <w:rFonts w:hint="eastAsia"/>
          <w:color w:val="auto"/>
        </w:rPr>
        <w:t>在评价过程中，评价组结合该项目的实际情况，实地核查相关内设机构的资料，现将评价情况报告如下：</w:t>
      </w:r>
    </w:p>
    <w:p w14:paraId="0528812A">
      <w:pPr>
        <w:pStyle w:val="3"/>
        <w:pageBreakBefore w:val="0"/>
        <w:numPr>
          <w:ilvl w:val="0"/>
          <w:numId w:val="0"/>
        </w:numPr>
        <w:kinsoku/>
        <w:wordWrap/>
        <w:overflowPunct/>
        <w:topLinePunct w:val="0"/>
        <w:autoSpaceDE/>
        <w:autoSpaceDN/>
        <w:bidi w:val="0"/>
        <w:spacing w:line="560" w:lineRule="exact"/>
        <w:ind w:leftChars="200"/>
        <w:rPr>
          <w:rFonts w:hint="eastAsia"/>
          <w:color w:val="auto"/>
        </w:rPr>
      </w:pPr>
      <w:r>
        <w:rPr>
          <w:rFonts w:hint="eastAsia"/>
          <w:color w:val="auto"/>
          <w:lang w:eastAsia="zh-CN"/>
        </w:rPr>
        <w:t>一、</w:t>
      </w:r>
      <w:r>
        <w:rPr>
          <w:rFonts w:hint="eastAsia"/>
          <w:color w:val="auto"/>
        </w:rPr>
        <w:t>部门（单位）概况</w:t>
      </w:r>
    </w:p>
    <w:p w14:paraId="6DD8B570">
      <w:pPr>
        <w:pStyle w:val="5"/>
        <w:pageBreakBefore w:val="0"/>
        <w:kinsoku/>
        <w:wordWrap/>
        <w:overflowPunct/>
        <w:topLinePunct w:val="0"/>
        <w:autoSpaceDE/>
        <w:autoSpaceDN/>
        <w:bidi w:val="0"/>
        <w:adjustRightInd/>
        <w:spacing w:line="560" w:lineRule="exact"/>
        <w:ind w:firstLine="643" w:firstLineChars="200"/>
        <w:rPr>
          <w:rFonts w:hint="eastAsia"/>
          <w:color w:val="auto"/>
        </w:rPr>
      </w:pPr>
      <w:r>
        <w:rPr>
          <w:rFonts w:hint="eastAsia"/>
          <w:color w:val="auto"/>
        </w:rPr>
        <w:t>机构职能</w:t>
      </w:r>
    </w:p>
    <w:p w14:paraId="002C93B7">
      <w:pPr>
        <w:pStyle w:val="4"/>
        <w:pageBreakBefore w:val="0"/>
        <w:kinsoku/>
        <w:wordWrap/>
        <w:overflowPunct/>
        <w:topLinePunct w:val="0"/>
        <w:autoSpaceDE/>
        <w:autoSpaceDN/>
        <w:bidi w:val="0"/>
        <w:spacing w:line="560" w:lineRule="exact"/>
        <w:ind w:firstLine="640" w:firstLineChars="200"/>
        <w:rPr>
          <w:rFonts w:hint="eastAsia" w:ascii="宋体" w:hAnsi="宋体" w:cs="宋体"/>
          <w:b w:val="0"/>
          <w:bCs w:val="0"/>
          <w:color w:val="auto"/>
          <w:szCs w:val="21"/>
          <w:lang w:val="en-US" w:eastAsia="zh-CN"/>
        </w:rPr>
      </w:pPr>
      <w:r>
        <w:rPr>
          <w:rFonts w:hint="eastAsia" w:ascii="宋体" w:hAnsi="宋体" w:cs="宋体"/>
          <w:b w:val="0"/>
          <w:bCs w:val="0"/>
          <w:color w:val="auto"/>
          <w:szCs w:val="21"/>
          <w:lang w:val="en-US" w:eastAsia="zh-CN"/>
        </w:rPr>
        <w:t>1.宣传、贯彻、执行国家、省、市有关房屋征收补偿管理的法律法规和政策；结合新区实际，制定房屋征收补偿办法，并组织实施。</w:t>
      </w:r>
    </w:p>
    <w:p w14:paraId="5B095B96">
      <w:pPr>
        <w:pStyle w:val="4"/>
        <w:pageBreakBefore w:val="0"/>
        <w:kinsoku/>
        <w:wordWrap/>
        <w:overflowPunct/>
        <w:topLinePunct w:val="0"/>
        <w:autoSpaceDE/>
        <w:autoSpaceDN/>
        <w:bidi w:val="0"/>
        <w:spacing w:line="560" w:lineRule="exact"/>
        <w:ind w:firstLine="640" w:firstLineChars="200"/>
        <w:rPr>
          <w:rFonts w:hint="eastAsia" w:ascii="宋体" w:hAnsi="宋体" w:cs="宋体"/>
          <w:b w:val="0"/>
          <w:bCs w:val="0"/>
          <w:color w:val="auto"/>
          <w:szCs w:val="21"/>
          <w:lang w:val="en-US" w:eastAsia="zh-CN"/>
        </w:rPr>
      </w:pPr>
      <w:r>
        <w:rPr>
          <w:rFonts w:hint="eastAsia" w:ascii="宋体" w:hAnsi="宋体" w:cs="宋体"/>
          <w:b w:val="0"/>
          <w:bCs w:val="0"/>
          <w:color w:val="auto"/>
          <w:szCs w:val="21"/>
          <w:lang w:val="en-US" w:eastAsia="zh-CN"/>
        </w:rPr>
        <w:t>2.承担房屋征收工作的统筹、协调、服务、督查等工作职责、负责审核及管理房屋征收计划和补偿方案。</w:t>
      </w:r>
    </w:p>
    <w:p w14:paraId="3C0E84AB">
      <w:pPr>
        <w:pStyle w:val="4"/>
        <w:pageBreakBefore w:val="0"/>
        <w:kinsoku/>
        <w:wordWrap/>
        <w:overflowPunct/>
        <w:topLinePunct w:val="0"/>
        <w:autoSpaceDE/>
        <w:autoSpaceDN/>
        <w:bidi w:val="0"/>
        <w:spacing w:line="560" w:lineRule="exact"/>
        <w:ind w:firstLine="640" w:firstLineChars="200"/>
        <w:rPr>
          <w:rFonts w:hint="eastAsia" w:ascii="宋体" w:hAnsi="宋体" w:cs="宋体"/>
          <w:b w:val="0"/>
          <w:bCs w:val="0"/>
          <w:color w:val="auto"/>
          <w:szCs w:val="21"/>
          <w:lang w:val="en-US" w:eastAsia="zh-CN"/>
        </w:rPr>
      </w:pPr>
      <w:r>
        <w:rPr>
          <w:rFonts w:hint="eastAsia" w:ascii="宋体" w:hAnsi="宋体" w:cs="宋体"/>
          <w:b w:val="0"/>
          <w:bCs w:val="0"/>
          <w:color w:val="auto"/>
          <w:szCs w:val="21"/>
          <w:lang w:val="en-US" w:eastAsia="zh-CN"/>
        </w:rPr>
        <w:t>3.负责对房屋征收工作进行目标管理、业务指导、监督检查；协同做好房屋征收的安全、稳定的监管工作。</w:t>
      </w:r>
    </w:p>
    <w:p w14:paraId="594CFF1F">
      <w:pPr>
        <w:pStyle w:val="4"/>
        <w:pageBreakBefore w:val="0"/>
        <w:kinsoku/>
        <w:wordWrap/>
        <w:overflowPunct/>
        <w:topLinePunct w:val="0"/>
        <w:autoSpaceDE/>
        <w:autoSpaceDN/>
        <w:bidi w:val="0"/>
        <w:spacing w:line="560" w:lineRule="exact"/>
        <w:ind w:firstLine="640" w:firstLineChars="200"/>
        <w:rPr>
          <w:rFonts w:hint="eastAsia" w:ascii="宋体" w:hAnsi="宋体" w:cs="宋体"/>
          <w:b w:val="0"/>
          <w:bCs w:val="0"/>
          <w:color w:val="auto"/>
          <w:szCs w:val="21"/>
          <w:lang w:val="en-US" w:eastAsia="zh-CN"/>
        </w:rPr>
      </w:pPr>
      <w:r>
        <w:rPr>
          <w:rFonts w:hint="eastAsia" w:ascii="宋体" w:hAnsi="宋体" w:cs="宋体"/>
          <w:b w:val="0"/>
          <w:bCs w:val="0"/>
          <w:color w:val="auto"/>
          <w:szCs w:val="21"/>
          <w:lang w:val="en-US" w:eastAsia="zh-CN"/>
        </w:rPr>
        <w:t>4.负责辖区内房屋征收补偿资金、工作经费的审核及监管工作。</w:t>
      </w:r>
    </w:p>
    <w:p w14:paraId="57FB1DD2">
      <w:pPr>
        <w:pStyle w:val="4"/>
        <w:pageBreakBefore w:val="0"/>
        <w:kinsoku/>
        <w:wordWrap/>
        <w:overflowPunct/>
        <w:topLinePunct w:val="0"/>
        <w:autoSpaceDE/>
        <w:autoSpaceDN/>
        <w:bidi w:val="0"/>
        <w:spacing w:line="560" w:lineRule="exact"/>
        <w:ind w:firstLine="640" w:firstLineChars="200"/>
        <w:rPr>
          <w:rFonts w:hint="eastAsia" w:ascii="宋体" w:hAnsi="宋体" w:cs="宋体"/>
          <w:b w:val="0"/>
          <w:bCs w:val="0"/>
          <w:color w:val="auto"/>
          <w:szCs w:val="21"/>
          <w:lang w:val="en-US" w:eastAsia="zh-CN"/>
        </w:rPr>
      </w:pPr>
      <w:r>
        <w:rPr>
          <w:rFonts w:hint="eastAsia" w:ascii="宋体" w:hAnsi="宋体" w:cs="宋体"/>
          <w:b w:val="0"/>
          <w:bCs w:val="0"/>
          <w:color w:val="auto"/>
          <w:szCs w:val="21"/>
          <w:lang w:val="en-US" w:eastAsia="zh-CN"/>
        </w:rPr>
        <w:t>5.负责房屋征收档案资料的搜集、整理、保管和利用工作。</w:t>
      </w:r>
    </w:p>
    <w:p w14:paraId="2A6C8292">
      <w:pPr>
        <w:pStyle w:val="4"/>
        <w:pageBreakBefore w:val="0"/>
        <w:kinsoku/>
        <w:wordWrap/>
        <w:overflowPunct/>
        <w:topLinePunct w:val="0"/>
        <w:autoSpaceDE/>
        <w:autoSpaceDN/>
        <w:bidi w:val="0"/>
        <w:spacing w:line="560" w:lineRule="exact"/>
        <w:ind w:firstLine="640" w:firstLineChars="200"/>
        <w:rPr>
          <w:rFonts w:hint="default" w:ascii="宋体" w:hAnsi="宋体" w:cs="宋体"/>
          <w:b w:val="0"/>
          <w:bCs w:val="0"/>
          <w:color w:val="auto"/>
          <w:szCs w:val="21"/>
          <w:lang w:val="en-US" w:eastAsia="zh-CN"/>
        </w:rPr>
      </w:pPr>
      <w:r>
        <w:rPr>
          <w:rFonts w:hint="eastAsia" w:ascii="宋体" w:hAnsi="宋体" w:cs="宋体"/>
          <w:b w:val="0"/>
          <w:bCs w:val="0"/>
          <w:color w:val="auto"/>
          <w:szCs w:val="21"/>
          <w:lang w:val="en-US" w:eastAsia="zh-CN"/>
        </w:rPr>
        <w:t>6.完成上级交办的其他事项。</w:t>
      </w:r>
    </w:p>
    <w:p w14:paraId="4D2827FB">
      <w:pPr>
        <w:pStyle w:val="5"/>
        <w:pageBreakBefore w:val="0"/>
        <w:kinsoku/>
        <w:wordWrap/>
        <w:overflowPunct/>
        <w:topLinePunct w:val="0"/>
        <w:autoSpaceDE/>
        <w:autoSpaceDN/>
        <w:bidi w:val="0"/>
        <w:adjustRightInd/>
        <w:spacing w:line="560" w:lineRule="exact"/>
        <w:ind w:firstLine="643" w:firstLineChars="200"/>
        <w:rPr>
          <w:color w:val="auto"/>
        </w:rPr>
      </w:pPr>
      <w:r>
        <w:rPr>
          <w:rFonts w:hint="eastAsia"/>
          <w:color w:val="auto"/>
        </w:rPr>
        <w:t>机构组成</w:t>
      </w:r>
    </w:p>
    <w:p w14:paraId="75096E81">
      <w:pPr>
        <w:pStyle w:val="4"/>
        <w:pageBreakBefore w:val="0"/>
        <w:kinsoku/>
        <w:wordWrap/>
        <w:overflowPunct/>
        <w:topLinePunct w:val="0"/>
        <w:autoSpaceDE/>
        <w:autoSpaceDN/>
        <w:bidi w:val="0"/>
        <w:spacing w:line="560" w:lineRule="exact"/>
        <w:ind w:firstLine="640" w:firstLineChars="200"/>
        <w:textAlignment w:val="auto"/>
        <w:rPr>
          <w:rFonts w:hint="eastAsia"/>
          <w:color w:val="auto"/>
          <w:lang w:val="en-US" w:eastAsia="zh-CN"/>
        </w:rPr>
      </w:pPr>
      <w:r>
        <w:rPr>
          <w:rFonts w:hint="eastAsia" w:ascii="宋体" w:hAnsi="宋体" w:cs="宋体"/>
          <w:b w:val="0"/>
          <w:bCs w:val="0"/>
          <w:color w:val="auto"/>
          <w:szCs w:val="21"/>
          <w:lang w:val="en-US" w:eastAsia="zh-CN"/>
        </w:rPr>
        <w:t>房征中心</w:t>
      </w:r>
      <w:r>
        <w:rPr>
          <w:rFonts w:hint="eastAsia"/>
          <w:color w:val="auto"/>
          <w:lang w:val="en-US" w:eastAsia="zh-CN"/>
        </w:rPr>
        <w:t>内设综合股、信访股、维稳股</w:t>
      </w:r>
      <w:r>
        <w:rPr>
          <w:rFonts w:hint="eastAsia" w:ascii="宋体" w:hAnsi="宋体" w:cs="宋体"/>
          <w:b w:val="0"/>
          <w:bCs w:val="0"/>
          <w:color w:val="auto"/>
          <w:szCs w:val="21"/>
          <w:lang w:val="en-US" w:eastAsia="zh-CN"/>
        </w:rPr>
        <w:t>。</w:t>
      </w:r>
    </w:p>
    <w:p w14:paraId="5CC360B5">
      <w:pPr>
        <w:pStyle w:val="5"/>
        <w:pageBreakBefore w:val="0"/>
        <w:kinsoku/>
        <w:wordWrap/>
        <w:overflowPunct/>
        <w:topLinePunct w:val="0"/>
        <w:autoSpaceDE/>
        <w:autoSpaceDN/>
        <w:bidi w:val="0"/>
        <w:spacing w:line="560" w:lineRule="exact"/>
        <w:ind w:left="-13" w:leftChars="0" w:firstLine="643" w:firstLineChars="200"/>
        <w:textAlignment w:val="auto"/>
        <w:rPr>
          <w:color w:val="auto"/>
        </w:rPr>
      </w:pPr>
      <w:r>
        <w:rPr>
          <w:rFonts w:hint="eastAsia"/>
          <w:color w:val="auto"/>
        </w:rPr>
        <w:t>人员概况</w:t>
      </w:r>
    </w:p>
    <w:p w14:paraId="4A466FA7">
      <w:pPr>
        <w:pStyle w:val="4"/>
        <w:pageBreakBefore w:val="0"/>
        <w:kinsoku/>
        <w:wordWrap/>
        <w:overflowPunct/>
        <w:topLinePunct w:val="0"/>
        <w:autoSpaceDE/>
        <w:autoSpaceDN/>
        <w:bidi w:val="0"/>
        <w:spacing w:line="560" w:lineRule="exact"/>
        <w:ind w:firstLine="640" w:firstLineChars="200"/>
        <w:textAlignment w:val="auto"/>
        <w:rPr>
          <w:rFonts w:hint="eastAsia"/>
          <w:color w:val="auto"/>
          <w:highlight w:val="none"/>
          <w:lang w:val="en-US" w:eastAsia="zh-CN"/>
        </w:rPr>
      </w:pPr>
      <w:r>
        <w:rPr>
          <w:rFonts w:hint="eastAsia"/>
          <w:color w:val="auto"/>
          <w:highlight w:val="none"/>
          <w:lang w:val="en-US" w:eastAsia="zh-CN"/>
        </w:rPr>
        <w:t>截止2021年12月31日，</w:t>
      </w:r>
      <w:r>
        <w:rPr>
          <w:rFonts w:hint="eastAsia" w:ascii="宋体" w:hAnsi="宋体" w:cs="宋体"/>
          <w:b w:val="0"/>
          <w:bCs w:val="0"/>
          <w:color w:val="auto"/>
          <w:szCs w:val="21"/>
          <w:lang w:val="en-US" w:eastAsia="zh-CN"/>
        </w:rPr>
        <w:t>房征中心</w:t>
      </w:r>
      <w:r>
        <w:rPr>
          <w:rFonts w:hint="eastAsia"/>
          <w:color w:val="auto"/>
          <w:highlight w:val="none"/>
          <w:lang w:val="en-US" w:eastAsia="zh-CN"/>
        </w:rPr>
        <w:t>实有人员7名，其中编制人员2名，国有公司借调人员2名，第三方聘用人员3名。</w:t>
      </w:r>
    </w:p>
    <w:p w14:paraId="4FCE0981">
      <w:pPr>
        <w:pStyle w:val="5"/>
        <w:pageBreakBefore w:val="0"/>
        <w:numPr>
          <w:ilvl w:val="0"/>
          <w:numId w:val="2"/>
        </w:numPr>
        <w:kinsoku/>
        <w:wordWrap/>
        <w:overflowPunct/>
        <w:topLinePunct w:val="0"/>
        <w:autoSpaceDE/>
        <w:autoSpaceDN/>
        <w:bidi w:val="0"/>
        <w:adjustRightInd/>
        <w:spacing w:line="560" w:lineRule="exact"/>
        <w:ind w:left="0" w:leftChars="0" w:firstLine="643" w:firstLineChars="200"/>
        <w:rPr>
          <w:rFonts w:hint="eastAsia"/>
        </w:rPr>
      </w:pPr>
      <w:r>
        <w:rPr>
          <w:rFonts w:hint="eastAsia"/>
          <w:color w:val="auto"/>
        </w:rPr>
        <w:t>年度主要工作目标及重点工作</w:t>
      </w:r>
    </w:p>
    <w:p w14:paraId="3C1C0B8D">
      <w:pPr>
        <w:pStyle w:val="4"/>
        <w:pageBreakBefore w:val="0"/>
        <w:kinsoku/>
        <w:wordWrap/>
        <w:overflowPunct/>
        <w:topLinePunct w:val="0"/>
        <w:autoSpaceDE/>
        <w:autoSpaceDN/>
        <w:bidi w:val="0"/>
        <w:spacing w:line="560" w:lineRule="exact"/>
        <w:ind w:firstLine="643" w:firstLineChars="200"/>
        <w:textAlignment w:val="auto"/>
        <w:rPr>
          <w:rFonts w:hint="eastAsia"/>
          <w:b/>
          <w:bCs w:val="0"/>
          <w:color w:val="auto"/>
          <w:lang w:val="en-US" w:eastAsia="zh-CN"/>
        </w:rPr>
      </w:pPr>
      <w:r>
        <w:rPr>
          <w:rFonts w:hint="eastAsia"/>
          <w:b/>
          <w:bCs w:val="0"/>
          <w:color w:val="auto"/>
          <w:lang w:val="en-US" w:eastAsia="zh-CN"/>
        </w:rPr>
        <w:t>1.推进矛盾纠纷多元化解工作</w:t>
      </w:r>
    </w:p>
    <w:p w14:paraId="4FE769EB">
      <w:pPr>
        <w:pStyle w:val="4"/>
        <w:pageBreakBefore w:val="0"/>
        <w:kinsoku/>
        <w:wordWrap/>
        <w:overflowPunct/>
        <w:topLinePunct w:val="0"/>
        <w:autoSpaceDE/>
        <w:autoSpaceDN/>
        <w:bidi w:val="0"/>
        <w:spacing w:line="560" w:lineRule="exact"/>
        <w:ind w:firstLine="640" w:firstLineChars="200"/>
        <w:textAlignment w:val="auto"/>
        <w:rPr>
          <w:rFonts w:hint="eastAsia" w:eastAsia="仿宋" w:cstheme="minorBidi"/>
          <w:color w:val="auto"/>
          <w:kern w:val="2"/>
          <w:sz w:val="32"/>
          <w:szCs w:val="32"/>
          <w:lang w:val="en-US" w:eastAsia="zh-CN" w:bidi="ar-SA"/>
        </w:rPr>
      </w:pPr>
      <w:r>
        <w:rPr>
          <w:rFonts w:hint="eastAsia" w:eastAsia="仿宋" w:cstheme="minorBidi"/>
          <w:color w:val="auto"/>
          <w:kern w:val="2"/>
          <w:sz w:val="32"/>
          <w:szCs w:val="32"/>
          <w:lang w:val="en-US" w:eastAsia="zh-CN" w:bidi="ar-SA"/>
        </w:rPr>
        <w:t>推动公调对接、信调对接、诉非衔接、法律咨询等矛盾纠纷多元调解工作取得新成效，努力争取省市重点督办案件销案。</w:t>
      </w:r>
    </w:p>
    <w:p w14:paraId="5D4F97A6">
      <w:pPr>
        <w:pStyle w:val="4"/>
        <w:pageBreakBefore w:val="0"/>
        <w:kinsoku/>
        <w:wordWrap/>
        <w:overflowPunct/>
        <w:topLinePunct w:val="0"/>
        <w:autoSpaceDE/>
        <w:autoSpaceDN/>
        <w:bidi w:val="0"/>
        <w:spacing w:line="560" w:lineRule="exact"/>
        <w:ind w:firstLine="643" w:firstLineChars="200"/>
        <w:textAlignment w:val="auto"/>
        <w:rPr>
          <w:rFonts w:hint="eastAsia"/>
          <w:b/>
          <w:bCs w:val="0"/>
          <w:color w:val="auto"/>
          <w:lang w:val="en-US" w:eastAsia="zh-CN"/>
        </w:rPr>
      </w:pPr>
      <w:r>
        <w:rPr>
          <w:rFonts w:hint="eastAsia"/>
          <w:b/>
          <w:bCs w:val="0"/>
          <w:color w:val="auto"/>
          <w:lang w:val="en-US" w:eastAsia="zh-CN"/>
        </w:rPr>
        <w:t>2.认真做好信访工作</w:t>
      </w:r>
    </w:p>
    <w:p w14:paraId="4F877B5F">
      <w:pPr>
        <w:pStyle w:val="4"/>
        <w:pageBreakBefore w:val="0"/>
        <w:kinsoku/>
        <w:wordWrap/>
        <w:overflowPunct/>
        <w:topLinePunct w:val="0"/>
        <w:autoSpaceDE/>
        <w:autoSpaceDN/>
        <w:bidi w:val="0"/>
        <w:spacing w:line="560" w:lineRule="exact"/>
        <w:ind w:firstLine="640" w:firstLineChars="200"/>
        <w:textAlignment w:val="auto"/>
        <w:rPr>
          <w:rFonts w:hint="eastAsia" w:eastAsia="仿宋" w:cstheme="minorBidi"/>
          <w:color w:val="auto"/>
          <w:kern w:val="2"/>
          <w:sz w:val="32"/>
          <w:szCs w:val="32"/>
          <w:lang w:val="en-US" w:eastAsia="zh-CN" w:bidi="ar-SA"/>
        </w:rPr>
      </w:pPr>
      <w:r>
        <w:rPr>
          <w:rFonts w:hint="eastAsia" w:eastAsia="仿宋" w:cstheme="minorBidi"/>
          <w:color w:val="auto"/>
          <w:kern w:val="2"/>
          <w:sz w:val="32"/>
          <w:szCs w:val="32"/>
          <w:lang w:val="en-US" w:eastAsia="zh-CN" w:bidi="ar-SA"/>
        </w:rPr>
        <w:t>贯彻落实好信访工作责任制，进一步压实信访工作领导、属地、部门、企业主体“四个责任”，完善信访联席会议、信访接访、督查督办 “三个制度”，用好基层基础力量，做好预测、预警、预防“三预”工作，努力实现全年无进京非访、越级访目标。</w:t>
      </w:r>
    </w:p>
    <w:p w14:paraId="7D09565A">
      <w:pPr>
        <w:pStyle w:val="4"/>
        <w:pageBreakBefore w:val="0"/>
        <w:kinsoku/>
        <w:wordWrap/>
        <w:overflowPunct/>
        <w:topLinePunct w:val="0"/>
        <w:autoSpaceDE/>
        <w:autoSpaceDN/>
        <w:bidi w:val="0"/>
        <w:spacing w:line="560" w:lineRule="exact"/>
        <w:ind w:firstLine="643" w:firstLineChars="200"/>
        <w:textAlignment w:val="auto"/>
        <w:rPr>
          <w:rFonts w:hint="eastAsia"/>
          <w:b/>
          <w:bCs w:val="0"/>
          <w:color w:val="auto"/>
          <w:lang w:val="en-US" w:eastAsia="zh-CN"/>
        </w:rPr>
      </w:pPr>
      <w:r>
        <w:rPr>
          <w:rFonts w:hint="eastAsia"/>
          <w:b/>
          <w:bCs w:val="0"/>
          <w:color w:val="auto"/>
          <w:lang w:val="en-US" w:eastAsia="zh-CN"/>
        </w:rPr>
        <w:t>3.大力强化涉稳隐患排查及社会稳定风险评估工作</w:t>
      </w:r>
    </w:p>
    <w:p w14:paraId="7D4678DD">
      <w:pPr>
        <w:pStyle w:val="4"/>
        <w:pageBreakBefore w:val="0"/>
        <w:kinsoku/>
        <w:wordWrap/>
        <w:overflowPunct/>
        <w:topLinePunct w:val="0"/>
        <w:autoSpaceDE/>
        <w:autoSpaceDN/>
        <w:bidi w:val="0"/>
        <w:spacing w:line="560" w:lineRule="exact"/>
        <w:ind w:firstLine="640" w:firstLineChars="200"/>
        <w:textAlignment w:val="auto"/>
        <w:rPr>
          <w:rFonts w:hint="eastAsia" w:eastAsia="仿宋" w:cstheme="minorBidi"/>
          <w:color w:val="auto"/>
          <w:kern w:val="2"/>
          <w:sz w:val="32"/>
          <w:szCs w:val="32"/>
          <w:lang w:val="en-US" w:eastAsia="zh-CN" w:bidi="ar-SA"/>
        </w:rPr>
      </w:pPr>
      <w:r>
        <w:rPr>
          <w:rFonts w:hint="eastAsia" w:eastAsia="仿宋" w:cstheme="minorBidi"/>
          <w:color w:val="auto"/>
          <w:kern w:val="2"/>
          <w:sz w:val="32"/>
          <w:szCs w:val="32"/>
          <w:lang w:val="en-US" w:eastAsia="zh-CN" w:bidi="ar-SA"/>
        </w:rPr>
        <w:t>做实、做细社会稳定风险排查、研判、处置工作，更加注重维稳机制建设常态、长效化，情报信息共享互通，以及涉稳事件处置的时效性，同时思考探索新闻媒体、网络媒体正能量在涉稳事件处置过程的发声引导和消除舆论误解作用，努力维护新区社会稳定。</w:t>
      </w:r>
    </w:p>
    <w:p w14:paraId="0BC23D02">
      <w:pPr>
        <w:pStyle w:val="3"/>
        <w:pageBreakBefore w:val="0"/>
        <w:numPr>
          <w:ilvl w:val="0"/>
          <w:numId w:val="0"/>
        </w:numPr>
        <w:kinsoku/>
        <w:wordWrap/>
        <w:overflowPunct/>
        <w:topLinePunct w:val="0"/>
        <w:autoSpaceDE/>
        <w:autoSpaceDN/>
        <w:bidi w:val="0"/>
        <w:spacing w:line="560" w:lineRule="exact"/>
        <w:ind w:leftChars="200"/>
        <w:rPr>
          <w:rFonts w:hint="eastAsia"/>
          <w:color w:val="auto"/>
          <w:szCs w:val="32"/>
        </w:rPr>
      </w:pPr>
      <w:r>
        <w:rPr>
          <w:rFonts w:hint="eastAsia"/>
          <w:color w:val="auto"/>
          <w:szCs w:val="32"/>
          <w:lang w:val="en-US" w:eastAsia="zh-CN"/>
        </w:rPr>
        <w:t>二、预算编制及执行</w:t>
      </w:r>
      <w:r>
        <w:rPr>
          <w:rFonts w:hint="eastAsia"/>
          <w:color w:val="auto"/>
          <w:szCs w:val="32"/>
        </w:rPr>
        <w:t>情况</w:t>
      </w:r>
    </w:p>
    <w:p w14:paraId="64AAF4D2">
      <w:pPr>
        <w:pStyle w:val="5"/>
        <w:pageBreakBefore w:val="0"/>
        <w:numPr>
          <w:ilvl w:val="1"/>
          <w:numId w:val="0"/>
        </w:numPr>
        <w:kinsoku/>
        <w:wordWrap/>
        <w:overflowPunct/>
        <w:topLinePunct w:val="0"/>
        <w:autoSpaceDE/>
        <w:autoSpaceDN/>
        <w:bidi w:val="0"/>
        <w:spacing w:line="560" w:lineRule="exact"/>
        <w:ind w:leftChars="0" w:firstLine="643" w:firstLineChars="200"/>
        <w:textAlignment w:val="auto"/>
        <w:rPr>
          <w:rFonts w:hint="eastAsia"/>
          <w:color w:val="auto"/>
          <w:lang w:val="en-US" w:eastAsia="zh-CN"/>
        </w:rPr>
      </w:pPr>
      <w:r>
        <w:rPr>
          <w:rFonts w:hint="eastAsia"/>
          <w:color w:val="auto"/>
          <w:lang w:val="en-US" w:eastAsia="zh-CN"/>
        </w:rPr>
        <w:t>（一）预算</w:t>
      </w:r>
      <w:r>
        <w:rPr>
          <w:rFonts w:hint="default"/>
          <w:color w:val="auto"/>
          <w:lang w:val="en-US" w:eastAsia="zh-CN"/>
        </w:rPr>
        <w:t>编制</w:t>
      </w:r>
      <w:r>
        <w:rPr>
          <w:rFonts w:hint="eastAsia"/>
          <w:color w:val="auto"/>
          <w:lang w:val="en-US" w:eastAsia="zh-CN"/>
        </w:rPr>
        <w:t>情况</w:t>
      </w:r>
    </w:p>
    <w:p w14:paraId="432466C5">
      <w:pPr>
        <w:pStyle w:val="6"/>
        <w:pageBreakBefore w:val="0"/>
        <w:kinsoku/>
        <w:wordWrap/>
        <w:overflowPunct/>
        <w:topLinePunct w:val="0"/>
        <w:autoSpaceDE/>
        <w:autoSpaceDN/>
        <w:bidi w:val="0"/>
        <w:adjustRightInd/>
        <w:spacing w:line="560" w:lineRule="exact"/>
        <w:ind w:firstLine="643" w:firstLineChars="200"/>
        <w:rPr>
          <w:rFonts w:hint="eastAsia"/>
          <w:b/>
          <w:bCs w:val="0"/>
          <w:color w:val="auto"/>
        </w:rPr>
      </w:pPr>
      <w:r>
        <w:rPr>
          <w:rFonts w:hint="eastAsia"/>
          <w:b/>
          <w:bCs w:val="0"/>
          <w:color w:val="auto"/>
        </w:rPr>
        <w:t>部门收入情况</w:t>
      </w:r>
    </w:p>
    <w:p w14:paraId="4209A2D9">
      <w:pPr>
        <w:pStyle w:val="4"/>
        <w:pageBreakBefore w:val="0"/>
        <w:kinsoku/>
        <w:wordWrap/>
        <w:overflowPunct/>
        <w:topLinePunct w:val="0"/>
        <w:autoSpaceDE/>
        <w:autoSpaceDN/>
        <w:bidi w:val="0"/>
        <w:spacing w:line="560" w:lineRule="exact"/>
        <w:ind w:firstLine="640" w:firstLineChars="200"/>
        <w:textAlignment w:val="auto"/>
        <w:rPr>
          <w:rFonts w:hint="eastAsia" w:eastAsia="仿宋_GB2312"/>
          <w:color w:val="auto"/>
          <w:szCs w:val="32"/>
          <w:lang w:val="en-US" w:eastAsia="zh-CN"/>
        </w:rPr>
      </w:pPr>
      <w:r>
        <w:rPr>
          <w:rFonts w:hint="eastAsia"/>
          <w:color w:val="auto"/>
          <w:szCs w:val="32"/>
          <w:lang w:val="en-US" w:eastAsia="zh-CN"/>
        </w:rPr>
        <w:t>2021年，房征中心年初收入预算251.15万元，调整预算 222.64万元，</w:t>
      </w:r>
      <w:r>
        <w:rPr>
          <w:color w:val="auto"/>
          <w:szCs w:val="32"/>
        </w:rPr>
        <w:t>决算</w:t>
      </w:r>
      <w:r>
        <w:rPr>
          <w:rFonts w:hint="eastAsia"/>
          <w:color w:val="auto"/>
          <w:szCs w:val="32"/>
          <w:lang w:val="en-US" w:eastAsia="zh-CN"/>
        </w:rPr>
        <w:t>222.64</w:t>
      </w:r>
      <w:r>
        <w:rPr>
          <w:color w:val="auto"/>
          <w:szCs w:val="32"/>
        </w:rPr>
        <w:t>万元。</w:t>
      </w:r>
      <w:r>
        <w:rPr>
          <w:rFonts w:hint="eastAsia"/>
          <w:color w:val="auto"/>
          <w:szCs w:val="32"/>
          <w:lang w:val="en-US" w:eastAsia="zh-CN"/>
        </w:rPr>
        <w:t>收入来源为</w:t>
      </w:r>
      <w:r>
        <w:rPr>
          <w:color w:val="auto"/>
          <w:szCs w:val="32"/>
        </w:rPr>
        <w:t>一般公共预算财政拨款</w:t>
      </w:r>
      <w:r>
        <w:rPr>
          <w:rFonts w:hint="eastAsia"/>
          <w:color w:val="auto"/>
          <w:szCs w:val="32"/>
          <w:lang w:eastAsia="zh-CN"/>
        </w:rPr>
        <w:t>。</w:t>
      </w:r>
    </w:p>
    <w:p w14:paraId="31EA71FA">
      <w:pPr>
        <w:pStyle w:val="6"/>
        <w:pageBreakBefore w:val="0"/>
        <w:kinsoku/>
        <w:wordWrap/>
        <w:overflowPunct/>
        <w:topLinePunct w:val="0"/>
        <w:autoSpaceDE/>
        <w:autoSpaceDN/>
        <w:bidi w:val="0"/>
        <w:adjustRightInd/>
        <w:spacing w:line="560" w:lineRule="exact"/>
        <w:ind w:firstLine="643" w:firstLineChars="200"/>
        <w:rPr>
          <w:rFonts w:hint="eastAsia"/>
          <w:b/>
          <w:bCs w:val="0"/>
          <w:color w:val="auto"/>
        </w:rPr>
      </w:pPr>
      <w:r>
        <w:rPr>
          <w:rFonts w:hint="eastAsia"/>
          <w:b/>
          <w:bCs w:val="0"/>
          <w:color w:val="auto"/>
        </w:rPr>
        <w:t>部门支出</w:t>
      </w:r>
      <w:r>
        <w:rPr>
          <w:rFonts w:hint="eastAsia"/>
          <w:b/>
          <w:bCs w:val="0"/>
          <w:color w:val="auto"/>
          <w:lang w:val="en-US" w:eastAsia="zh-CN"/>
        </w:rPr>
        <w:t>及预算执行</w:t>
      </w:r>
      <w:r>
        <w:rPr>
          <w:rFonts w:hint="eastAsia"/>
          <w:b/>
          <w:bCs w:val="0"/>
          <w:color w:val="auto"/>
        </w:rPr>
        <w:t>情况</w:t>
      </w:r>
    </w:p>
    <w:p w14:paraId="624B90E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
          <w:color w:val="auto"/>
          <w:sz w:val="32"/>
          <w:szCs w:val="32"/>
          <w:lang w:val="en-US" w:eastAsia="zh-CN"/>
        </w:rPr>
      </w:pPr>
      <w:r>
        <w:rPr>
          <w:rFonts w:hint="eastAsia" w:ascii="Times New Roman" w:hAnsi="Times New Roman" w:eastAsia="仿宋"/>
          <w:color w:val="auto"/>
          <w:sz w:val="32"/>
          <w:szCs w:val="32"/>
          <w:lang w:val="en-US" w:eastAsia="zh-CN"/>
        </w:rPr>
        <w:t>2021年，房征中心年初支出预算251.15万元（其中：基本支出115.44万元，项目支出135.71万元）；调整预算为 222.63万元（其中：基本支出90.74万元，项目支出131.89万元）；决算222.63万元（其中：基本支出90.74万元，项目支出131.89万元）。</w:t>
      </w:r>
    </w:p>
    <w:p w14:paraId="5793C20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color w:val="auto"/>
        </w:rPr>
      </w:pPr>
      <w:r>
        <w:rPr>
          <w:rFonts w:hint="eastAsia" w:ascii="Times New Roman" w:hAnsi="Times New Roman" w:eastAsia="仿宋"/>
          <w:color w:val="auto"/>
          <w:sz w:val="32"/>
          <w:szCs w:val="32"/>
          <w:lang w:val="en-US" w:eastAsia="zh-CN"/>
        </w:rPr>
        <w:t>2021年收入预算执行进度100%。具体支出预决算情况见表1，项目支出明细见表2：</w:t>
      </w:r>
    </w:p>
    <w:p w14:paraId="2235A0BE">
      <w:pPr>
        <w:pStyle w:val="12"/>
        <w:keepNext w:val="0"/>
        <w:keepLines w:val="0"/>
        <w:pageBreakBefore w:val="0"/>
        <w:widowControl w:val="0"/>
        <w:kinsoku/>
        <w:wordWrap/>
        <w:overflowPunct/>
        <w:topLinePunct w:val="0"/>
        <w:autoSpaceDE/>
        <w:autoSpaceDN/>
        <w:bidi w:val="0"/>
        <w:adjustRightInd/>
        <w:snapToGrid w:val="0"/>
        <w:spacing w:before="60" w:after="60" w:line="560" w:lineRule="exact"/>
        <w:ind w:left="0" w:leftChars="0" w:right="0" w:rightChars="0" w:firstLine="482" w:firstLineChars="200"/>
        <w:textAlignment w:val="auto"/>
        <w:outlineLvl w:val="9"/>
        <w:rPr>
          <w:color w:val="auto"/>
        </w:rPr>
      </w:pPr>
      <w:r>
        <w:rPr>
          <w:rFonts w:hint="eastAsia"/>
          <w:color w:val="auto"/>
        </w:rPr>
        <w:t>表</w:t>
      </w:r>
      <w:r>
        <w:rPr>
          <w:rFonts w:hint="eastAsia"/>
          <w:color w:val="auto"/>
          <w:lang w:val="en-US" w:eastAsia="zh-CN"/>
        </w:rPr>
        <w:t>1</w:t>
      </w:r>
      <w:r>
        <w:rPr>
          <w:color w:val="auto"/>
        </w:rPr>
        <w:t xml:space="preserve">  20</w:t>
      </w:r>
      <w:r>
        <w:rPr>
          <w:rFonts w:hint="eastAsia"/>
          <w:color w:val="auto"/>
          <w:lang w:val="en-US" w:eastAsia="zh-CN"/>
        </w:rPr>
        <w:t>21</w:t>
      </w:r>
      <w:r>
        <w:rPr>
          <w:color w:val="auto"/>
        </w:rPr>
        <w:t>年</w:t>
      </w:r>
      <w:r>
        <w:rPr>
          <w:rFonts w:hint="eastAsia"/>
          <w:color w:val="auto"/>
          <w:lang w:val="en-US" w:eastAsia="zh-CN"/>
        </w:rPr>
        <w:t>房征中心支出</w:t>
      </w:r>
      <w:r>
        <w:rPr>
          <w:color w:val="auto"/>
        </w:rPr>
        <w:t>预决算情况表</w:t>
      </w:r>
    </w:p>
    <w:p w14:paraId="0309D1B4">
      <w:pPr>
        <w:pStyle w:val="12"/>
        <w:keepNext w:val="0"/>
        <w:keepLines w:val="0"/>
        <w:pageBreakBefore w:val="0"/>
        <w:widowControl w:val="0"/>
        <w:kinsoku/>
        <w:wordWrap/>
        <w:overflowPunct/>
        <w:topLinePunct w:val="0"/>
        <w:autoSpaceDE/>
        <w:autoSpaceDN/>
        <w:bidi w:val="0"/>
        <w:adjustRightInd/>
        <w:snapToGrid w:val="0"/>
        <w:spacing w:before="60" w:after="60" w:line="560" w:lineRule="exact"/>
        <w:ind w:left="0" w:leftChars="0" w:right="0" w:rightChars="0" w:firstLine="480" w:firstLineChars="200"/>
        <w:jc w:val="right"/>
        <w:textAlignment w:val="auto"/>
        <w:outlineLvl w:val="9"/>
        <w:rPr>
          <w:b w:val="0"/>
          <w:bCs/>
          <w:color w:val="auto"/>
        </w:rPr>
      </w:pPr>
      <w:r>
        <w:rPr>
          <w:rFonts w:hint="eastAsia"/>
          <w:b w:val="0"/>
          <w:bCs/>
          <w:color w:val="auto"/>
        </w:rPr>
        <w:t>单位</w:t>
      </w:r>
      <w:r>
        <w:rPr>
          <w:b w:val="0"/>
          <w:bCs/>
          <w:color w:val="auto"/>
        </w:rPr>
        <w:t>：万元</w:t>
      </w:r>
    </w:p>
    <w:tbl>
      <w:tblPr>
        <w:tblStyle w:val="10"/>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2"/>
        <w:gridCol w:w="1767"/>
        <w:gridCol w:w="1767"/>
        <w:gridCol w:w="1768"/>
        <w:gridCol w:w="1768"/>
      </w:tblGrid>
      <w:tr w14:paraId="2FC0F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997" w:type="pct"/>
            <w:vAlign w:val="center"/>
          </w:tcPr>
          <w:p w14:paraId="7E65F1CE">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eastAsia="宋体" w:cs="宋体"/>
                <w:b/>
                <w:bCs w:val="0"/>
                <w:color w:val="auto"/>
                <w:kern w:val="0"/>
                <w:sz w:val="22"/>
                <w:szCs w:val="22"/>
                <w:lang w:val="zh-CN" w:eastAsia="zh-CN" w:bidi="ar-SA"/>
              </w:rPr>
            </w:pPr>
            <w:r>
              <w:rPr>
                <w:rFonts w:hint="eastAsia" w:ascii="Times New Roman" w:hAnsi="Times New Roman" w:eastAsia="宋体" w:cs="宋体"/>
                <w:b/>
                <w:bCs w:val="0"/>
                <w:color w:val="auto"/>
                <w:kern w:val="0"/>
                <w:sz w:val="22"/>
                <w:szCs w:val="22"/>
                <w:lang w:val="zh-CN" w:eastAsia="zh-CN" w:bidi="ar-SA"/>
              </w:rPr>
              <w:t>类别</w:t>
            </w:r>
          </w:p>
        </w:tc>
        <w:tc>
          <w:tcPr>
            <w:tcW w:w="1000" w:type="pct"/>
            <w:vAlign w:val="center"/>
          </w:tcPr>
          <w:p w14:paraId="07FE4C17">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eastAsia="宋体" w:cs="宋体"/>
                <w:b/>
                <w:bCs w:val="0"/>
                <w:color w:val="auto"/>
                <w:kern w:val="0"/>
                <w:sz w:val="22"/>
                <w:szCs w:val="22"/>
                <w:lang w:val="zh-CN" w:eastAsia="zh-CN" w:bidi="ar-SA"/>
              </w:rPr>
            </w:pPr>
            <w:r>
              <w:rPr>
                <w:rFonts w:hint="eastAsia" w:ascii="Times New Roman" w:hAnsi="Times New Roman" w:eastAsia="宋体" w:cs="宋体"/>
                <w:b/>
                <w:bCs w:val="0"/>
                <w:color w:val="auto"/>
                <w:kern w:val="0"/>
                <w:sz w:val="22"/>
                <w:szCs w:val="22"/>
                <w:lang w:val="zh-CN" w:eastAsia="zh-CN" w:bidi="ar-SA"/>
              </w:rPr>
              <w:t>预算数</w:t>
            </w:r>
          </w:p>
        </w:tc>
        <w:tc>
          <w:tcPr>
            <w:tcW w:w="1000" w:type="pct"/>
            <w:vAlign w:val="center"/>
          </w:tcPr>
          <w:p w14:paraId="331E9D2B">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hint="default" w:ascii="Times New Roman" w:hAnsi="Times New Roman" w:eastAsia="宋体" w:cs="宋体"/>
                <w:b/>
                <w:bCs w:val="0"/>
                <w:color w:val="auto"/>
                <w:kern w:val="0"/>
                <w:sz w:val="22"/>
                <w:szCs w:val="22"/>
                <w:lang w:val="en-US" w:eastAsia="zh-CN" w:bidi="ar-SA"/>
              </w:rPr>
            </w:pPr>
            <w:r>
              <w:rPr>
                <w:rFonts w:hint="eastAsia" w:ascii="Times New Roman" w:hAnsi="Times New Roman" w:eastAsia="宋体" w:cs="宋体"/>
                <w:b/>
                <w:bCs w:val="0"/>
                <w:color w:val="auto"/>
                <w:kern w:val="0"/>
                <w:sz w:val="22"/>
                <w:szCs w:val="22"/>
                <w:lang w:val="en-US" w:eastAsia="zh-CN" w:bidi="ar-SA"/>
              </w:rPr>
              <w:t>调整数</w:t>
            </w:r>
          </w:p>
        </w:tc>
        <w:tc>
          <w:tcPr>
            <w:tcW w:w="1000" w:type="pct"/>
            <w:vAlign w:val="center"/>
          </w:tcPr>
          <w:p w14:paraId="3A4C4D77">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eastAsia="宋体" w:cs="宋体"/>
                <w:b/>
                <w:bCs w:val="0"/>
                <w:color w:val="auto"/>
                <w:kern w:val="0"/>
                <w:sz w:val="22"/>
                <w:szCs w:val="22"/>
                <w:lang w:val="zh-CN" w:eastAsia="zh-CN" w:bidi="ar-SA"/>
              </w:rPr>
            </w:pPr>
            <w:r>
              <w:rPr>
                <w:rFonts w:hint="eastAsia" w:ascii="Times New Roman" w:hAnsi="Times New Roman" w:eastAsia="宋体" w:cs="宋体"/>
                <w:b/>
                <w:bCs w:val="0"/>
                <w:color w:val="auto"/>
                <w:kern w:val="0"/>
                <w:sz w:val="22"/>
                <w:szCs w:val="22"/>
                <w:lang w:val="zh-CN" w:eastAsia="zh-CN" w:bidi="ar-SA"/>
              </w:rPr>
              <w:t>决算数</w:t>
            </w:r>
          </w:p>
        </w:tc>
        <w:tc>
          <w:tcPr>
            <w:tcW w:w="1000" w:type="pct"/>
            <w:vAlign w:val="center"/>
          </w:tcPr>
          <w:p w14:paraId="41DB4C6B">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宋体" w:cs="宋体"/>
                <w:b/>
                <w:bCs w:val="0"/>
                <w:color w:val="auto"/>
                <w:kern w:val="0"/>
                <w:sz w:val="22"/>
                <w:szCs w:val="22"/>
                <w:lang w:val="en-US" w:eastAsia="zh-Hans" w:bidi="ar-SA"/>
              </w:rPr>
            </w:pPr>
            <w:r>
              <w:rPr>
                <w:rFonts w:hint="eastAsia" w:ascii="Times New Roman" w:hAnsi="Times New Roman" w:eastAsia="宋体" w:cs="宋体"/>
                <w:b/>
                <w:bCs w:val="0"/>
                <w:color w:val="auto"/>
                <w:kern w:val="0"/>
                <w:sz w:val="22"/>
                <w:szCs w:val="22"/>
                <w:lang w:val="en-US" w:eastAsia="zh-Hans" w:bidi="ar-SA"/>
              </w:rPr>
              <w:t>预算执行率</w:t>
            </w:r>
          </w:p>
        </w:tc>
      </w:tr>
      <w:tr w14:paraId="6923D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997" w:type="pct"/>
            <w:vAlign w:val="center"/>
          </w:tcPr>
          <w:p w14:paraId="36E30AA6">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eastAsia="宋体" w:cs="宋体"/>
                <w:bCs/>
                <w:color w:val="auto"/>
                <w:kern w:val="0"/>
                <w:sz w:val="22"/>
                <w:szCs w:val="22"/>
                <w:lang w:val="zh-CN" w:eastAsia="zh-CN" w:bidi="ar-SA"/>
              </w:rPr>
            </w:pPr>
            <w:r>
              <w:rPr>
                <w:rFonts w:hint="eastAsia" w:ascii="Times New Roman" w:hAnsi="Times New Roman" w:eastAsia="宋体" w:cs="宋体"/>
                <w:bCs/>
                <w:color w:val="auto"/>
                <w:kern w:val="0"/>
                <w:sz w:val="22"/>
                <w:szCs w:val="22"/>
                <w:lang w:val="zh-CN" w:eastAsia="zh-CN" w:bidi="ar-SA"/>
              </w:rPr>
              <w:t>基本支出</w:t>
            </w:r>
          </w:p>
        </w:tc>
        <w:tc>
          <w:tcPr>
            <w:tcW w:w="1000" w:type="pct"/>
            <w:vAlign w:val="center"/>
          </w:tcPr>
          <w:p w14:paraId="0FA83292">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115.44</w:t>
            </w:r>
          </w:p>
        </w:tc>
        <w:tc>
          <w:tcPr>
            <w:tcW w:w="1000" w:type="pct"/>
            <w:vAlign w:val="center"/>
          </w:tcPr>
          <w:p w14:paraId="139DD03F">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90.74</w:t>
            </w:r>
          </w:p>
        </w:tc>
        <w:tc>
          <w:tcPr>
            <w:tcW w:w="1768" w:type="dxa"/>
            <w:vAlign w:val="center"/>
          </w:tcPr>
          <w:p w14:paraId="28667D0F">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90.74</w:t>
            </w:r>
          </w:p>
        </w:tc>
        <w:tc>
          <w:tcPr>
            <w:tcW w:w="1000" w:type="pct"/>
            <w:vAlign w:val="center"/>
          </w:tcPr>
          <w:p w14:paraId="6720FF8B">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100.00%</w:t>
            </w:r>
          </w:p>
        </w:tc>
      </w:tr>
      <w:tr w14:paraId="643CA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997" w:type="pct"/>
            <w:vAlign w:val="center"/>
          </w:tcPr>
          <w:p w14:paraId="4988754E">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eastAsia="宋体" w:cs="宋体"/>
                <w:bCs/>
                <w:color w:val="auto"/>
                <w:kern w:val="0"/>
                <w:sz w:val="22"/>
                <w:szCs w:val="22"/>
                <w:lang w:val="zh-CN" w:eastAsia="zh-CN" w:bidi="ar-SA"/>
              </w:rPr>
            </w:pPr>
            <w:r>
              <w:rPr>
                <w:rFonts w:hint="eastAsia" w:ascii="Times New Roman" w:hAnsi="Times New Roman" w:eastAsia="宋体" w:cs="宋体"/>
                <w:bCs/>
                <w:color w:val="auto"/>
                <w:kern w:val="0"/>
                <w:sz w:val="22"/>
                <w:szCs w:val="22"/>
                <w:lang w:val="zh-CN" w:eastAsia="zh-CN" w:bidi="ar-SA"/>
              </w:rPr>
              <w:t>项目支出</w:t>
            </w:r>
          </w:p>
        </w:tc>
        <w:tc>
          <w:tcPr>
            <w:tcW w:w="1000" w:type="pct"/>
            <w:vAlign w:val="center"/>
          </w:tcPr>
          <w:p w14:paraId="759C9097">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135.71</w:t>
            </w:r>
          </w:p>
        </w:tc>
        <w:tc>
          <w:tcPr>
            <w:tcW w:w="1000" w:type="pct"/>
            <w:vAlign w:val="center"/>
          </w:tcPr>
          <w:p w14:paraId="479838EE">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zh-CN" w:eastAsia="zh-CN" w:bidi="ar"/>
              </w:rPr>
            </w:pPr>
            <w:r>
              <w:rPr>
                <w:rFonts w:hint="eastAsia" w:ascii="仿宋" w:hAnsi="仿宋" w:eastAsia="仿宋" w:cs="仿宋"/>
                <w:i w:val="0"/>
                <w:iCs w:val="0"/>
                <w:color w:val="auto"/>
                <w:kern w:val="0"/>
                <w:sz w:val="22"/>
                <w:szCs w:val="22"/>
                <w:u w:val="none"/>
                <w:lang w:val="en-US" w:eastAsia="zh-CN" w:bidi="ar"/>
              </w:rPr>
              <w:t>131.89</w:t>
            </w:r>
          </w:p>
        </w:tc>
        <w:tc>
          <w:tcPr>
            <w:tcW w:w="1768" w:type="dxa"/>
            <w:vAlign w:val="center"/>
          </w:tcPr>
          <w:p w14:paraId="3D6CCB80">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zh-CN" w:eastAsia="zh-CN" w:bidi="ar"/>
              </w:rPr>
            </w:pPr>
            <w:r>
              <w:rPr>
                <w:rFonts w:hint="eastAsia" w:ascii="仿宋" w:hAnsi="仿宋" w:eastAsia="仿宋" w:cs="仿宋"/>
                <w:i w:val="0"/>
                <w:iCs w:val="0"/>
                <w:color w:val="auto"/>
                <w:kern w:val="0"/>
                <w:sz w:val="22"/>
                <w:szCs w:val="22"/>
                <w:u w:val="none"/>
                <w:lang w:val="en-US" w:eastAsia="zh-CN" w:bidi="ar"/>
              </w:rPr>
              <w:t>131.89</w:t>
            </w:r>
          </w:p>
        </w:tc>
        <w:tc>
          <w:tcPr>
            <w:tcW w:w="1000" w:type="pct"/>
            <w:vAlign w:val="center"/>
          </w:tcPr>
          <w:p w14:paraId="419E8236">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zh-CN" w:eastAsia="zh-CN" w:bidi="ar"/>
              </w:rPr>
            </w:pPr>
            <w:r>
              <w:rPr>
                <w:rFonts w:hint="eastAsia" w:ascii="仿宋" w:hAnsi="仿宋" w:eastAsia="仿宋" w:cs="仿宋"/>
                <w:i w:val="0"/>
                <w:iCs w:val="0"/>
                <w:color w:val="auto"/>
                <w:kern w:val="0"/>
                <w:sz w:val="22"/>
                <w:szCs w:val="22"/>
                <w:u w:val="none"/>
                <w:lang w:val="en-US" w:eastAsia="zh-CN" w:bidi="ar"/>
              </w:rPr>
              <w:t>100.00%</w:t>
            </w:r>
          </w:p>
        </w:tc>
      </w:tr>
      <w:tr w14:paraId="79F96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997" w:type="pct"/>
            <w:vAlign w:val="center"/>
          </w:tcPr>
          <w:p w14:paraId="034CA69F">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hint="default" w:ascii="Times New Roman" w:hAnsi="Times New Roman" w:eastAsia="宋体" w:cs="宋体"/>
                <w:bCs/>
                <w:color w:val="auto"/>
                <w:kern w:val="0"/>
                <w:sz w:val="22"/>
                <w:szCs w:val="22"/>
                <w:lang w:val="en-US" w:eastAsia="zh-CN" w:bidi="ar-SA"/>
              </w:rPr>
            </w:pPr>
            <w:r>
              <w:rPr>
                <w:rFonts w:hint="eastAsia" w:ascii="Times New Roman" w:hAnsi="Times New Roman" w:eastAsia="宋体" w:cs="宋体"/>
                <w:bCs/>
                <w:color w:val="auto"/>
                <w:kern w:val="0"/>
                <w:sz w:val="22"/>
                <w:szCs w:val="22"/>
                <w:lang w:val="en-US" w:eastAsia="zh-CN" w:bidi="ar-SA"/>
              </w:rPr>
              <w:t>合计</w:t>
            </w:r>
          </w:p>
        </w:tc>
        <w:tc>
          <w:tcPr>
            <w:tcW w:w="1000" w:type="pct"/>
            <w:vAlign w:val="center"/>
          </w:tcPr>
          <w:p w14:paraId="4FD672CF">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251.15</w:t>
            </w:r>
          </w:p>
        </w:tc>
        <w:tc>
          <w:tcPr>
            <w:tcW w:w="1000" w:type="pct"/>
            <w:vAlign w:val="center"/>
          </w:tcPr>
          <w:p w14:paraId="58B7F092">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222.63</w:t>
            </w:r>
          </w:p>
        </w:tc>
        <w:tc>
          <w:tcPr>
            <w:tcW w:w="1768" w:type="dxa"/>
            <w:vAlign w:val="center"/>
          </w:tcPr>
          <w:p w14:paraId="31C98E4A">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222.63</w:t>
            </w:r>
          </w:p>
        </w:tc>
        <w:tc>
          <w:tcPr>
            <w:tcW w:w="1000" w:type="pct"/>
            <w:vAlign w:val="center"/>
          </w:tcPr>
          <w:p w14:paraId="5A843096">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100.00%</w:t>
            </w:r>
          </w:p>
        </w:tc>
      </w:tr>
    </w:tbl>
    <w:p w14:paraId="22BFE7D7">
      <w:pPr>
        <w:pStyle w:val="12"/>
        <w:pageBreakBefore w:val="0"/>
        <w:kinsoku/>
        <w:wordWrap/>
        <w:overflowPunct/>
        <w:topLinePunct w:val="0"/>
        <w:autoSpaceDE/>
        <w:autoSpaceDN/>
        <w:bidi w:val="0"/>
        <w:snapToGrid w:val="0"/>
        <w:spacing w:before="60" w:line="560" w:lineRule="exact"/>
        <w:ind w:left="0" w:leftChars="0" w:firstLine="482" w:firstLineChars="200"/>
        <w:outlineLvl w:val="9"/>
        <w:rPr>
          <w:rFonts w:hint="eastAsia"/>
          <w:color w:val="auto"/>
        </w:rPr>
      </w:pPr>
    </w:p>
    <w:p w14:paraId="67FAD69D">
      <w:pPr>
        <w:pStyle w:val="12"/>
        <w:pageBreakBefore w:val="0"/>
        <w:kinsoku/>
        <w:wordWrap/>
        <w:overflowPunct/>
        <w:topLinePunct w:val="0"/>
        <w:autoSpaceDE/>
        <w:autoSpaceDN/>
        <w:bidi w:val="0"/>
        <w:snapToGrid w:val="0"/>
        <w:spacing w:before="60" w:line="560" w:lineRule="exact"/>
        <w:ind w:left="0" w:leftChars="0" w:firstLine="482" w:firstLineChars="200"/>
        <w:outlineLvl w:val="9"/>
        <w:rPr>
          <w:rFonts w:hint="eastAsia"/>
          <w:color w:val="auto"/>
        </w:rPr>
      </w:pPr>
      <w:r>
        <w:rPr>
          <w:rFonts w:hint="eastAsia"/>
          <w:color w:val="auto"/>
        </w:rPr>
        <w:t>表</w:t>
      </w:r>
      <w:r>
        <w:rPr>
          <w:rFonts w:hint="eastAsia"/>
          <w:color w:val="auto"/>
          <w:lang w:val="en-US" w:eastAsia="zh-CN"/>
        </w:rPr>
        <w:t xml:space="preserve">2 </w:t>
      </w:r>
      <w:r>
        <w:rPr>
          <w:color w:val="auto"/>
        </w:rPr>
        <w:t xml:space="preserve"> 20</w:t>
      </w:r>
      <w:r>
        <w:rPr>
          <w:rFonts w:hint="eastAsia"/>
          <w:color w:val="auto"/>
          <w:lang w:val="en-US" w:eastAsia="zh-CN"/>
        </w:rPr>
        <w:t>21</w:t>
      </w:r>
      <w:r>
        <w:rPr>
          <w:color w:val="auto"/>
        </w:rPr>
        <w:t>年</w:t>
      </w:r>
      <w:r>
        <w:rPr>
          <w:rFonts w:hint="eastAsia"/>
          <w:color w:val="auto"/>
          <w:lang w:val="en-US" w:eastAsia="zh-CN"/>
        </w:rPr>
        <w:t>房征中心</w:t>
      </w:r>
      <w:r>
        <w:rPr>
          <w:rFonts w:hint="eastAsia"/>
          <w:color w:val="auto"/>
        </w:rPr>
        <w:t>项目支出明细表</w:t>
      </w:r>
    </w:p>
    <w:p w14:paraId="3FF06508">
      <w:pPr>
        <w:pStyle w:val="12"/>
        <w:pageBreakBefore w:val="0"/>
        <w:kinsoku/>
        <w:wordWrap/>
        <w:overflowPunct/>
        <w:topLinePunct w:val="0"/>
        <w:autoSpaceDE/>
        <w:autoSpaceDN/>
        <w:bidi w:val="0"/>
        <w:snapToGrid w:val="0"/>
        <w:spacing w:before="60" w:line="560" w:lineRule="exact"/>
        <w:ind w:left="0" w:leftChars="0" w:firstLine="480" w:firstLineChars="200"/>
        <w:jc w:val="right"/>
        <w:outlineLvl w:val="9"/>
        <w:rPr>
          <w:rFonts w:hint="eastAsia"/>
          <w:b w:val="0"/>
          <w:bCs/>
          <w:color w:val="auto"/>
          <w:lang w:val="en-US" w:eastAsia="zh-CN"/>
        </w:rPr>
      </w:pPr>
      <w:r>
        <w:rPr>
          <w:rFonts w:hint="eastAsia"/>
          <w:b w:val="0"/>
          <w:bCs/>
          <w:color w:val="auto"/>
          <w:lang w:val="en-US" w:eastAsia="zh-CN"/>
        </w:rPr>
        <w:t>单位：万元</w:t>
      </w:r>
    </w:p>
    <w:tbl>
      <w:tblPr>
        <w:tblStyle w:val="10"/>
        <w:tblW w:w="8737" w:type="dxa"/>
        <w:tblInd w:w="96" w:type="dxa"/>
        <w:shd w:val="clear" w:color="auto" w:fill="auto"/>
        <w:tblLayout w:type="autofit"/>
        <w:tblCellMar>
          <w:top w:w="0" w:type="dxa"/>
          <w:left w:w="108" w:type="dxa"/>
          <w:bottom w:w="0" w:type="dxa"/>
          <w:right w:w="108" w:type="dxa"/>
        </w:tblCellMar>
      </w:tblPr>
      <w:tblGrid>
        <w:gridCol w:w="881"/>
        <w:gridCol w:w="2835"/>
        <w:gridCol w:w="1338"/>
        <w:gridCol w:w="1190"/>
        <w:gridCol w:w="1190"/>
        <w:gridCol w:w="1303"/>
      </w:tblGrid>
      <w:tr w14:paraId="693D0523">
        <w:tblPrEx>
          <w:shd w:val="clear" w:color="auto" w:fill="auto"/>
          <w:tblCellMar>
            <w:top w:w="0" w:type="dxa"/>
            <w:left w:w="108" w:type="dxa"/>
            <w:bottom w:w="0" w:type="dxa"/>
            <w:right w:w="108" w:type="dxa"/>
          </w:tblCellMar>
        </w:tblPrEx>
        <w:trPr>
          <w:trHeight w:val="709" w:hRule="atLeast"/>
        </w:trPr>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A01B9">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b/>
                <w:bCs/>
                <w:i w:val="0"/>
                <w:iCs w:val="0"/>
                <w:color w:val="auto"/>
                <w:sz w:val="22"/>
                <w:szCs w:val="22"/>
                <w:u w:val="none"/>
              </w:rPr>
            </w:pPr>
            <w:r>
              <w:rPr>
                <w:rFonts w:hint="eastAsia" w:ascii="仿宋" w:hAnsi="仿宋" w:eastAsia="仿宋" w:cs="仿宋"/>
                <w:b/>
                <w:bCs/>
                <w:i w:val="0"/>
                <w:iCs w:val="0"/>
                <w:color w:val="auto"/>
                <w:kern w:val="0"/>
                <w:sz w:val="22"/>
                <w:szCs w:val="22"/>
                <w:u w:val="none"/>
                <w:lang w:val="en-US" w:eastAsia="zh-CN" w:bidi="ar"/>
              </w:rPr>
              <w:t>序号</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E1F69">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b/>
                <w:bCs/>
                <w:i w:val="0"/>
                <w:iCs w:val="0"/>
                <w:color w:val="auto"/>
                <w:sz w:val="22"/>
                <w:szCs w:val="22"/>
                <w:u w:val="none"/>
              </w:rPr>
            </w:pPr>
            <w:r>
              <w:rPr>
                <w:rFonts w:hint="eastAsia" w:ascii="仿宋" w:hAnsi="仿宋" w:eastAsia="仿宋" w:cs="仿宋"/>
                <w:b/>
                <w:bCs/>
                <w:i w:val="0"/>
                <w:iCs w:val="0"/>
                <w:color w:val="auto"/>
                <w:kern w:val="0"/>
                <w:sz w:val="22"/>
                <w:szCs w:val="22"/>
                <w:u w:val="none"/>
                <w:lang w:val="en-US" w:eastAsia="zh-CN" w:bidi="ar"/>
              </w:rPr>
              <w:t>项目类别</w:t>
            </w:r>
            <w:r>
              <w:rPr>
                <w:rStyle w:val="13"/>
                <w:rFonts w:hint="eastAsia" w:ascii="仿宋" w:hAnsi="仿宋" w:eastAsia="仿宋" w:cs="仿宋"/>
                <w:color w:val="auto"/>
                <w:lang w:val="en-US" w:eastAsia="zh-CN" w:bidi="ar"/>
              </w:rPr>
              <w:t>/</w:t>
            </w:r>
            <w:r>
              <w:rPr>
                <w:rStyle w:val="14"/>
                <w:rFonts w:ascii="仿宋" w:hAnsi="仿宋" w:eastAsia="仿宋" w:cs="仿宋"/>
                <w:color w:val="auto"/>
                <w:lang w:val="en-US" w:eastAsia="zh-CN" w:bidi="ar"/>
              </w:rPr>
              <w:t>名称</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8832A">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b/>
                <w:bCs/>
                <w:i w:val="0"/>
                <w:iCs w:val="0"/>
                <w:color w:val="auto"/>
                <w:sz w:val="22"/>
                <w:szCs w:val="22"/>
                <w:u w:val="none"/>
              </w:rPr>
            </w:pPr>
            <w:r>
              <w:rPr>
                <w:rFonts w:hint="eastAsia" w:ascii="仿宋" w:hAnsi="仿宋" w:eastAsia="仿宋" w:cs="仿宋"/>
                <w:b/>
                <w:bCs/>
                <w:i w:val="0"/>
                <w:iCs w:val="0"/>
                <w:color w:val="auto"/>
                <w:kern w:val="0"/>
                <w:sz w:val="22"/>
                <w:szCs w:val="22"/>
                <w:u w:val="none"/>
                <w:lang w:val="en-US" w:eastAsia="zh-CN" w:bidi="ar"/>
              </w:rPr>
              <w:t>年初预算数</w:t>
            </w:r>
          </w:p>
        </w:tc>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516A1">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b/>
                <w:bCs/>
                <w:i w:val="0"/>
                <w:iCs w:val="0"/>
                <w:color w:val="auto"/>
                <w:kern w:val="0"/>
                <w:sz w:val="22"/>
                <w:szCs w:val="22"/>
                <w:u w:val="none"/>
                <w:lang w:val="en-US" w:eastAsia="zh-CN" w:bidi="ar"/>
              </w:rPr>
            </w:pPr>
            <w:r>
              <w:rPr>
                <w:rFonts w:hint="eastAsia" w:ascii="仿宋" w:hAnsi="仿宋" w:eastAsia="仿宋" w:cs="仿宋"/>
                <w:b/>
                <w:bCs/>
                <w:i w:val="0"/>
                <w:iCs w:val="0"/>
                <w:color w:val="auto"/>
                <w:kern w:val="0"/>
                <w:sz w:val="22"/>
                <w:szCs w:val="22"/>
                <w:u w:val="none"/>
                <w:lang w:val="en-US" w:eastAsia="zh-CN" w:bidi="ar"/>
              </w:rPr>
              <w:t>预算调整数</w:t>
            </w:r>
          </w:p>
        </w:tc>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08BAC">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b/>
                <w:bCs/>
                <w:i w:val="0"/>
                <w:iCs w:val="0"/>
                <w:color w:val="auto"/>
                <w:sz w:val="22"/>
                <w:szCs w:val="22"/>
                <w:u w:val="none"/>
              </w:rPr>
            </w:pPr>
            <w:r>
              <w:rPr>
                <w:rFonts w:hint="eastAsia" w:ascii="仿宋" w:hAnsi="仿宋" w:eastAsia="仿宋" w:cs="仿宋"/>
                <w:b/>
                <w:bCs/>
                <w:i w:val="0"/>
                <w:iCs w:val="0"/>
                <w:color w:val="auto"/>
                <w:kern w:val="0"/>
                <w:sz w:val="22"/>
                <w:szCs w:val="22"/>
                <w:u w:val="none"/>
                <w:lang w:val="en-US" w:eastAsia="zh-CN" w:bidi="ar"/>
              </w:rPr>
              <w:t>实际支出数</w:t>
            </w:r>
          </w:p>
        </w:tc>
        <w:tc>
          <w:tcPr>
            <w:tcW w:w="13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E05D2">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b/>
                <w:bCs/>
                <w:i w:val="0"/>
                <w:iCs w:val="0"/>
                <w:color w:val="auto"/>
                <w:sz w:val="22"/>
                <w:szCs w:val="22"/>
                <w:u w:val="none"/>
              </w:rPr>
            </w:pPr>
            <w:r>
              <w:rPr>
                <w:rFonts w:hint="eastAsia" w:ascii="仿宋" w:hAnsi="仿宋" w:eastAsia="仿宋" w:cs="仿宋"/>
                <w:b/>
                <w:bCs/>
                <w:i w:val="0"/>
                <w:iCs w:val="0"/>
                <w:color w:val="auto"/>
                <w:kern w:val="0"/>
                <w:sz w:val="22"/>
                <w:szCs w:val="22"/>
                <w:u w:val="none"/>
                <w:lang w:val="en-US" w:eastAsia="zh-CN" w:bidi="ar"/>
              </w:rPr>
              <w:t>预算执行率</w:t>
            </w:r>
          </w:p>
        </w:tc>
      </w:tr>
      <w:tr w14:paraId="4C5335BA">
        <w:tblPrEx>
          <w:tblCellMar>
            <w:top w:w="0" w:type="dxa"/>
            <w:left w:w="108" w:type="dxa"/>
            <w:bottom w:w="0" w:type="dxa"/>
            <w:right w:w="108" w:type="dxa"/>
          </w:tblCellMar>
        </w:tblPrEx>
        <w:trPr>
          <w:trHeight w:val="357" w:hRule="atLeast"/>
        </w:trPr>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4AA43">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1</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30420">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宋体" w:cs="宋体"/>
                <w:bCs/>
                <w:color w:val="auto"/>
                <w:kern w:val="0"/>
                <w:sz w:val="22"/>
                <w:szCs w:val="22"/>
                <w:lang w:val="zh-CN" w:eastAsia="zh-CN" w:bidi="ar-SA"/>
              </w:rPr>
            </w:pPr>
            <w:r>
              <w:rPr>
                <w:rFonts w:hint="eastAsia" w:ascii="Times New Roman" w:hAnsi="Times New Roman" w:eastAsia="宋体" w:cs="宋体"/>
                <w:bCs/>
                <w:color w:val="auto"/>
                <w:kern w:val="0"/>
                <w:sz w:val="22"/>
                <w:szCs w:val="22"/>
                <w:lang w:val="en-US" w:eastAsia="zh-CN" w:bidi="ar-SA"/>
              </w:rPr>
              <w:t xml:space="preserve"> 信访事务劳务费 </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5D168">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30</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76</w:t>
            </w:r>
          </w:p>
        </w:tc>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7FAA1">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45.45</w:t>
            </w:r>
          </w:p>
        </w:tc>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7D212">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30</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76</w:t>
            </w:r>
          </w:p>
        </w:tc>
        <w:tc>
          <w:tcPr>
            <w:tcW w:w="13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DBB3E">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w:t>
            </w:r>
          </w:p>
        </w:tc>
      </w:tr>
      <w:tr w14:paraId="4AAB574E">
        <w:tblPrEx>
          <w:tblCellMar>
            <w:top w:w="0" w:type="dxa"/>
            <w:left w:w="108" w:type="dxa"/>
            <w:bottom w:w="0" w:type="dxa"/>
            <w:right w:w="108" w:type="dxa"/>
          </w:tblCellMar>
        </w:tblPrEx>
        <w:trPr>
          <w:trHeight w:val="357" w:hRule="atLeast"/>
        </w:trPr>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C02DB">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2</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6A48F">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宋体" w:cs="宋体"/>
                <w:bCs/>
                <w:color w:val="auto"/>
                <w:kern w:val="0"/>
                <w:sz w:val="22"/>
                <w:szCs w:val="22"/>
                <w:lang w:val="zh-CN" w:eastAsia="zh-CN" w:bidi="ar-SA"/>
              </w:rPr>
            </w:pPr>
            <w:r>
              <w:rPr>
                <w:rFonts w:hint="eastAsia" w:ascii="Times New Roman" w:hAnsi="Times New Roman" w:eastAsia="宋体" w:cs="宋体"/>
                <w:bCs/>
                <w:color w:val="auto"/>
                <w:kern w:val="0"/>
                <w:sz w:val="22"/>
                <w:szCs w:val="22"/>
                <w:lang w:val="en-US" w:eastAsia="zh-CN" w:bidi="ar-SA"/>
              </w:rPr>
              <w:t xml:space="preserve"> 信访维稳工作经费 </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C2087">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40</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00</w:t>
            </w:r>
          </w:p>
        </w:tc>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EFD2A">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39</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49</w:t>
            </w:r>
          </w:p>
        </w:tc>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61ED1">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39</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49</w:t>
            </w:r>
          </w:p>
        </w:tc>
        <w:tc>
          <w:tcPr>
            <w:tcW w:w="13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0472B">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w:t>
            </w:r>
          </w:p>
        </w:tc>
      </w:tr>
      <w:tr w14:paraId="76C63491">
        <w:tblPrEx>
          <w:tblCellMar>
            <w:top w:w="0" w:type="dxa"/>
            <w:left w:w="108" w:type="dxa"/>
            <w:bottom w:w="0" w:type="dxa"/>
            <w:right w:w="108" w:type="dxa"/>
          </w:tblCellMar>
        </w:tblPrEx>
        <w:trPr>
          <w:trHeight w:val="357" w:hRule="atLeast"/>
        </w:trPr>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F180A">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3</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1AE6A">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宋体" w:cs="宋体"/>
                <w:bCs/>
                <w:color w:val="auto"/>
                <w:kern w:val="0"/>
                <w:sz w:val="22"/>
                <w:szCs w:val="22"/>
                <w:lang w:val="zh-CN" w:eastAsia="zh-CN" w:bidi="ar-SA"/>
              </w:rPr>
            </w:pPr>
            <w:r>
              <w:rPr>
                <w:rFonts w:hint="eastAsia" w:ascii="Times New Roman" w:hAnsi="Times New Roman" w:eastAsia="宋体" w:cs="宋体"/>
                <w:bCs/>
                <w:color w:val="auto"/>
                <w:kern w:val="0"/>
                <w:sz w:val="22"/>
                <w:szCs w:val="22"/>
                <w:lang w:val="en-US" w:eastAsia="zh-CN" w:bidi="ar-SA"/>
              </w:rPr>
              <w:t xml:space="preserve"> 驻蓉驻京信访工作经费 </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C0B3E">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18</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00</w:t>
            </w:r>
          </w:p>
        </w:tc>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08772">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0</w:t>
            </w:r>
            <w:r>
              <w:rPr>
                <w:rFonts w:hint="eastAsia" w:ascii="仿宋" w:hAnsi="仿宋" w:eastAsia="仿宋" w:cs="仿宋"/>
                <w:i w:val="0"/>
                <w:iCs w:val="0"/>
                <w:color w:val="auto"/>
                <w:kern w:val="0"/>
                <w:sz w:val="22"/>
                <w:szCs w:val="22"/>
                <w:u w:val="none"/>
                <w:lang w:val="en-US" w:eastAsia="zh-CN" w:bidi="ar"/>
              </w:rPr>
              <w:t>.00</w:t>
            </w:r>
          </w:p>
        </w:tc>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B390E">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0</w:t>
            </w:r>
            <w:r>
              <w:rPr>
                <w:rFonts w:hint="eastAsia" w:ascii="仿宋" w:hAnsi="仿宋" w:eastAsia="仿宋" w:cs="仿宋"/>
                <w:i w:val="0"/>
                <w:iCs w:val="0"/>
                <w:color w:val="auto"/>
                <w:kern w:val="0"/>
                <w:sz w:val="22"/>
                <w:szCs w:val="22"/>
                <w:u w:val="none"/>
                <w:lang w:val="en-US" w:eastAsia="zh-CN" w:bidi="ar"/>
              </w:rPr>
              <w:t>.00</w:t>
            </w:r>
          </w:p>
        </w:tc>
        <w:tc>
          <w:tcPr>
            <w:tcW w:w="13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9056B">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w:t>
            </w:r>
          </w:p>
        </w:tc>
      </w:tr>
      <w:tr w14:paraId="2FC80092">
        <w:tblPrEx>
          <w:tblCellMar>
            <w:top w:w="0" w:type="dxa"/>
            <w:left w:w="108" w:type="dxa"/>
            <w:bottom w:w="0" w:type="dxa"/>
            <w:right w:w="108" w:type="dxa"/>
          </w:tblCellMar>
        </w:tblPrEx>
        <w:trPr>
          <w:trHeight w:val="357" w:hRule="atLeast"/>
        </w:trPr>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C3AA2">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4</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9E184">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宋体" w:cs="宋体"/>
                <w:bCs/>
                <w:color w:val="auto"/>
                <w:kern w:val="0"/>
                <w:sz w:val="22"/>
                <w:szCs w:val="22"/>
                <w:lang w:val="zh-CN" w:eastAsia="zh-CN" w:bidi="ar-SA"/>
              </w:rPr>
            </w:pPr>
            <w:r>
              <w:rPr>
                <w:rFonts w:hint="eastAsia" w:ascii="Times New Roman" w:hAnsi="Times New Roman" w:eastAsia="宋体" w:cs="宋体"/>
                <w:bCs/>
                <w:color w:val="auto"/>
                <w:kern w:val="0"/>
                <w:sz w:val="22"/>
                <w:szCs w:val="22"/>
                <w:lang w:val="en-US" w:eastAsia="zh-CN" w:bidi="ar-SA"/>
              </w:rPr>
              <w:t xml:space="preserve"> 矛盾多元化解工作经费 </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BE6A5">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5</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00</w:t>
            </w:r>
          </w:p>
        </w:tc>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BE27F">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5</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00</w:t>
            </w:r>
          </w:p>
        </w:tc>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C54FC">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5</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00</w:t>
            </w:r>
          </w:p>
        </w:tc>
        <w:tc>
          <w:tcPr>
            <w:tcW w:w="13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90C8C">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w:t>
            </w:r>
          </w:p>
        </w:tc>
      </w:tr>
      <w:tr w14:paraId="2C8377C9">
        <w:tblPrEx>
          <w:tblCellMar>
            <w:top w:w="0" w:type="dxa"/>
            <w:left w:w="108" w:type="dxa"/>
            <w:bottom w:w="0" w:type="dxa"/>
            <w:right w:w="108" w:type="dxa"/>
          </w:tblCellMar>
        </w:tblPrEx>
        <w:trPr>
          <w:trHeight w:val="422" w:hRule="atLeast"/>
        </w:trPr>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592EC">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5</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8B697">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宋体" w:cs="宋体"/>
                <w:bCs/>
                <w:color w:val="auto"/>
                <w:kern w:val="0"/>
                <w:sz w:val="22"/>
                <w:szCs w:val="22"/>
                <w:lang w:val="zh-CN" w:eastAsia="zh-CN" w:bidi="ar-SA"/>
              </w:rPr>
            </w:pPr>
            <w:r>
              <w:rPr>
                <w:rFonts w:hint="eastAsia" w:ascii="Times New Roman" w:hAnsi="Times New Roman" w:eastAsia="宋体" w:cs="宋体"/>
                <w:bCs/>
                <w:color w:val="auto"/>
                <w:kern w:val="0"/>
                <w:sz w:val="22"/>
                <w:szCs w:val="22"/>
                <w:lang w:val="en-US" w:eastAsia="zh-CN" w:bidi="ar-SA"/>
              </w:rPr>
              <w:t xml:space="preserve"> 信访维稳工资经费 </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0CAAE">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40</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00</w:t>
            </w:r>
          </w:p>
        </w:tc>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F6D36">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40</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00</w:t>
            </w:r>
          </w:p>
        </w:tc>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D3BA4">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40</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00</w:t>
            </w:r>
          </w:p>
        </w:tc>
        <w:tc>
          <w:tcPr>
            <w:tcW w:w="13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4ED4C">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w:t>
            </w:r>
          </w:p>
        </w:tc>
      </w:tr>
      <w:tr w14:paraId="4A04CFEB">
        <w:tblPrEx>
          <w:tblCellMar>
            <w:top w:w="0" w:type="dxa"/>
            <w:left w:w="108" w:type="dxa"/>
            <w:bottom w:w="0" w:type="dxa"/>
            <w:right w:w="108" w:type="dxa"/>
          </w:tblCellMar>
        </w:tblPrEx>
        <w:trPr>
          <w:trHeight w:val="422" w:hRule="atLeast"/>
        </w:trPr>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C566F">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6</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2952C">
            <w:pPr>
              <w:keepNext w:val="0"/>
              <w:keepLines w:val="0"/>
              <w:pageBreakBefore w:val="0"/>
              <w:widowControl/>
              <w:pBdr>
                <w:between w:val="single" w:color="auto" w:sz="4" w:space="1"/>
              </w:pBdr>
              <w:kinsoku/>
              <w:wordWrap/>
              <w:overflowPunct/>
              <w:topLinePunct w:val="0"/>
              <w:autoSpaceDE/>
              <w:autoSpaceDN/>
              <w:bidi w:val="0"/>
              <w:adjustRightInd/>
              <w:snapToGrid/>
              <w:spacing w:line="560" w:lineRule="exact"/>
              <w:ind w:firstLine="0" w:firstLineChars="0"/>
              <w:jc w:val="center"/>
              <w:textAlignment w:val="auto"/>
              <w:rPr>
                <w:rFonts w:hint="default" w:ascii="Times New Roman" w:hAnsi="Times New Roman" w:eastAsia="宋体" w:cs="宋体"/>
                <w:bCs/>
                <w:color w:val="auto"/>
                <w:kern w:val="0"/>
                <w:sz w:val="22"/>
                <w:szCs w:val="22"/>
                <w:lang w:val="en-US" w:eastAsia="zh-CN" w:bidi="ar-SA"/>
              </w:rPr>
            </w:pPr>
            <w:r>
              <w:rPr>
                <w:rFonts w:hint="eastAsia" w:ascii="Times New Roman" w:hAnsi="Times New Roman" w:eastAsia="宋体" w:cs="宋体"/>
                <w:bCs/>
                <w:color w:val="auto"/>
                <w:kern w:val="0"/>
                <w:sz w:val="22"/>
                <w:szCs w:val="22"/>
                <w:lang w:val="en-US" w:eastAsia="zh-CN" w:bidi="ar-SA"/>
              </w:rPr>
              <w:t xml:space="preserve"> 春节慰问 </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29E7E">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1</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95</w:t>
            </w:r>
          </w:p>
        </w:tc>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01F9B">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1</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95</w:t>
            </w:r>
          </w:p>
        </w:tc>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5F0A3">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t>1</w:t>
            </w:r>
            <w:r>
              <w:rPr>
                <w:rFonts w:hint="eastAsia" w:ascii="仿宋" w:hAnsi="仿宋" w:eastAsia="仿宋" w:cs="仿宋"/>
                <w:i w:val="0"/>
                <w:iCs w:val="0"/>
                <w:color w:val="auto"/>
                <w:kern w:val="0"/>
                <w:sz w:val="22"/>
                <w:szCs w:val="22"/>
                <w:u w:val="none"/>
                <w:lang w:val="en-US" w:eastAsia="zh-CN" w:bidi="ar"/>
              </w:rPr>
              <w:t>.</w:t>
            </w:r>
            <w:r>
              <w:rPr>
                <w:rFonts w:hint="default" w:ascii="仿宋" w:hAnsi="仿宋" w:eastAsia="仿宋" w:cs="仿宋"/>
                <w:i w:val="0"/>
                <w:iCs w:val="0"/>
                <w:color w:val="auto"/>
                <w:kern w:val="0"/>
                <w:sz w:val="22"/>
                <w:szCs w:val="22"/>
                <w:u w:val="none"/>
                <w:lang w:val="en-US" w:eastAsia="zh-CN" w:bidi="ar"/>
              </w:rPr>
              <w:t>95</w:t>
            </w:r>
          </w:p>
        </w:tc>
        <w:tc>
          <w:tcPr>
            <w:tcW w:w="13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47D53">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w:t>
            </w:r>
          </w:p>
        </w:tc>
      </w:tr>
      <w:tr w14:paraId="3DE96A64">
        <w:tblPrEx>
          <w:tblCellMar>
            <w:top w:w="0" w:type="dxa"/>
            <w:left w:w="108" w:type="dxa"/>
            <w:bottom w:w="0" w:type="dxa"/>
            <w:right w:w="108" w:type="dxa"/>
          </w:tblCellMar>
        </w:tblPrEx>
        <w:trPr>
          <w:trHeight w:val="422" w:hRule="atLeast"/>
        </w:trPr>
        <w:tc>
          <w:tcPr>
            <w:tcW w:w="37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DD041F">
            <w:pPr>
              <w:keepNext w:val="0"/>
              <w:keepLines w:val="0"/>
              <w:pageBreakBefore w:val="0"/>
              <w:widowControl/>
              <w:suppressLineNumbers w:val="0"/>
              <w:wordWrap/>
              <w:overflowPunct/>
              <w:topLinePunct w:val="0"/>
              <w:bidi w:val="0"/>
              <w:spacing w:line="560" w:lineRule="exact"/>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仿宋" w:hAnsi="仿宋" w:eastAsia="仿宋" w:cs="仿宋"/>
                <w:i w:val="0"/>
                <w:iCs w:val="0"/>
                <w:color w:val="auto"/>
                <w:kern w:val="0"/>
                <w:sz w:val="22"/>
                <w:szCs w:val="22"/>
                <w:u w:val="none"/>
                <w:lang w:val="en-US" w:eastAsia="zh-CN" w:bidi="ar"/>
              </w:rPr>
              <w:t>合计</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66BD9">
            <w:pPr>
              <w:keepNext w:val="0"/>
              <w:keepLines w:val="0"/>
              <w:pageBreakBefore w:val="0"/>
              <w:widowControl/>
              <w:suppressLineNumbers w:val="0"/>
              <w:wordWrap/>
              <w:overflowPunct/>
              <w:topLinePunct w:val="0"/>
              <w:bidi w:val="0"/>
              <w:spacing w:line="560" w:lineRule="exact"/>
              <w:jc w:val="center"/>
              <w:textAlignment w:val="center"/>
              <w:rPr>
                <w:rFonts w:hint="default" w:ascii="仿宋" w:hAnsi="仿宋" w:eastAsia="仿宋" w:cs="仿宋"/>
                <w:i w:val="0"/>
                <w:iCs w:val="0"/>
                <w:color w:val="auto"/>
                <w:kern w:val="0"/>
                <w:sz w:val="22"/>
                <w:szCs w:val="22"/>
                <w:u w:val="none"/>
                <w:lang w:val="en-US" w:eastAsia="zh-CN" w:bidi="ar"/>
              </w:rPr>
            </w:pPr>
            <w:r>
              <w:rPr>
                <w:rFonts w:hint="default" w:ascii="仿宋" w:hAnsi="仿宋" w:eastAsia="仿宋" w:cs="仿宋"/>
                <w:i w:val="0"/>
                <w:iCs w:val="0"/>
                <w:color w:val="auto"/>
                <w:kern w:val="0"/>
                <w:sz w:val="22"/>
                <w:szCs w:val="22"/>
                <w:u w:val="none"/>
                <w:lang w:val="en-US" w:eastAsia="zh-CN" w:bidi="ar"/>
              </w:rPr>
              <w:fldChar w:fldCharType="begin"/>
            </w:r>
            <w:r>
              <w:rPr>
                <w:rFonts w:hint="default" w:ascii="仿宋" w:hAnsi="仿宋" w:eastAsia="仿宋" w:cs="仿宋"/>
                <w:i w:val="0"/>
                <w:iCs w:val="0"/>
                <w:color w:val="auto"/>
                <w:kern w:val="0"/>
                <w:sz w:val="22"/>
                <w:szCs w:val="22"/>
                <w:u w:val="none"/>
                <w:lang w:val="en-US" w:eastAsia="zh-CN" w:bidi="ar"/>
              </w:rPr>
              <w:instrText xml:space="preserve"> = sum(C2:C7) \* MERGEFORMAT </w:instrText>
            </w:r>
            <w:r>
              <w:rPr>
                <w:rFonts w:hint="default" w:ascii="仿宋" w:hAnsi="仿宋" w:eastAsia="仿宋" w:cs="仿宋"/>
                <w:i w:val="0"/>
                <w:iCs w:val="0"/>
                <w:color w:val="auto"/>
                <w:kern w:val="0"/>
                <w:sz w:val="22"/>
                <w:szCs w:val="22"/>
                <w:u w:val="none"/>
                <w:lang w:val="en-US" w:eastAsia="zh-CN" w:bidi="ar"/>
              </w:rPr>
              <w:fldChar w:fldCharType="separate"/>
            </w:r>
            <w:r>
              <w:rPr>
                <w:rFonts w:hint="default" w:ascii="仿宋" w:hAnsi="仿宋" w:eastAsia="仿宋" w:cs="仿宋"/>
                <w:i w:val="0"/>
                <w:iCs w:val="0"/>
                <w:color w:val="auto"/>
                <w:kern w:val="0"/>
                <w:sz w:val="22"/>
                <w:szCs w:val="22"/>
                <w:u w:val="none"/>
                <w:lang w:val="en-US" w:eastAsia="zh-CN" w:bidi="ar"/>
              </w:rPr>
              <w:t>135.71</w:t>
            </w:r>
            <w:r>
              <w:rPr>
                <w:rFonts w:hint="default" w:ascii="仿宋" w:hAnsi="仿宋" w:eastAsia="仿宋" w:cs="仿宋"/>
                <w:i w:val="0"/>
                <w:iCs w:val="0"/>
                <w:color w:val="auto"/>
                <w:kern w:val="0"/>
                <w:sz w:val="22"/>
                <w:szCs w:val="22"/>
                <w:u w:val="none"/>
                <w:lang w:val="en-US" w:eastAsia="zh-CN" w:bidi="ar"/>
              </w:rPr>
              <w:fldChar w:fldCharType="end"/>
            </w:r>
          </w:p>
        </w:tc>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82807">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131.89</w:t>
            </w:r>
            <w:r>
              <w:rPr>
                <w:rFonts w:hint="eastAsia" w:ascii="仿宋" w:hAnsi="仿宋" w:eastAsia="仿宋" w:cs="仿宋"/>
                <w:i w:val="0"/>
                <w:iCs w:val="0"/>
                <w:color w:val="auto"/>
                <w:kern w:val="0"/>
                <w:sz w:val="22"/>
                <w:szCs w:val="22"/>
                <w:u w:val="none"/>
                <w:lang w:val="en-US" w:eastAsia="zh-CN" w:bidi="ar"/>
              </w:rPr>
              <w:fldChar w:fldCharType="begin"/>
            </w:r>
            <w:r>
              <w:rPr>
                <w:rFonts w:hint="eastAsia" w:ascii="仿宋" w:hAnsi="仿宋" w:eastAsia="仿宋" w:cs="仿宋"/>
                <w:i w:val="0"/>
                <w:iCs w:val="0"/>
                <w:color w:val="auto"/>
                <w:kern w:val="0"/>
                <w:sz w:val="22"/>
                <w:szCs w:val="22"/>
                <w:u w:val="none"/>
                <w:lang w:val="en-US" w:eastAsia="zh-CN" w:bidi="ar"/>
              </w:rPr>
              <w:instrText xml:space="preserve"> = sum(D2:D7) \* MERGEFORMAT </w:instrText>
            </w:r>
            <w:r>
              <w:rPr>
                <w:rFonts w:hint="eastAsia" w:ascii="仿宋" w:hAnsi="仿宋" w:eastAsia="仿宋" w:cs="仿宋"/>
                <w:i w:val="0"/>
                <w:iCs w:val="0"/>
                <w:color w:val="auto"/>
                <w:kern w:val="0"/>
                <w:sz w:val="22"/>
                <w:szCs w:val="22"/>
                <w:u w:val="none"/>
                <w:lang w:val="en-US" w:eastAsia="zh-CN" w:bidi="ar"/>
              </w:rPr>
              <w:fldChar w:fldCharType="separate"/>
            </w:r>
            <w:r>
              <w:rPr>
                <w:rFonts w:hint="eastAsia" w:ascii="仿宋" w:hAnsi="仿宋" w:eastAsia="仿宋" w:cs="仿宋"/>
                <w:i w:val="0"/>
                <w:iCs w:val="0"/>
                <w:color w:val="auto"/>
                <w:kern w:val="0"/>
                <w:sz w:val="22"/>
                <w:szCs w:val="22"/>
                <w:u w:val="none"/>
                <w:lang w:val="en-US" w:eastAsia="zh-CN" w:bidi="ar"/>
              </w:rPr>
              <w:fldChar w:fldCharType="end"/>
            </w:r>
          </w:p>
        </w:tc>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C8BFB">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131.89</w:t>
            </w:r>
          </w:p>
        </w:tc>
        <w:tc>
          <w:tcPr>
            <w:tcW w:w="13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C6EFA">
            <w:pPr>
              <w:keepNext w:val="0"/>
              <w:keepLines w:val="0"/>
              <w:pageBreakBefore w:val="0"/>
              <w:widowControl/>
              <w:suppressLineNumbers w:val="0"/>
              <w:wordWrap/>
              <w:overflowPunct/>
              <w:topLinePunct w:val="0"/>
              <w:bidi w:val="0"/>
              <w:spacing w:line="560" w:lineRule="exact"/>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w:t>
            </w:r>
          </w:p>
        </w:tc>
      </w:tr>
    </w:tbl>
    <w:p w14:paraId="40AEAA22">
      <w:pPr>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黑体" w:hAnsi="黑体" w:eastAsia="黑体"/>
          <w:color w:val="auto"/>
          <w:sz w:val="32"/>
          <w:szCs w:val="32"/>
          <w:highlight w:val="none"/>
          <w:lang w:val="en-US" w:eastAsia="zh-CN"/>
        </w:rPr>
      </w:pPr>
    </w:p>
    <w:p w14:paraId="43745385">
      <w:pPr>
        <w:pStyle w:val="3"/>
        <w:pageBreakBefore w:val="0"/>
        <w:numPr>
          <w:ilvl w:val="0"/>
          <w:numId w:val="0"/>
        </w:numPr>
        <w:kinsoku/>
        <w:wordWrap/>
        <w:overflowPunct/>
        <w:topLinePunct w:val="0"/>
        <w:autoSpaceDE/>
        <w:autoSpaceDN/>
        <w:bidi w:val="0"/>
        <w:spacing w:line="560" w:lineRule="exact"/>
        <w:ind w:leftChars="200"/>
        <w:rPr>
          <w:rFonts w:hint="eastAsia"/>
          <w:color w:val="auto"/>
          <w:szCs w:val="32"/>
          <w:lang w:val="en-US" w:eastAsia="zh-CN"/>
        </w:rPr>
      </w:pPr>
      <w:r>
        <w:rPr>
          <w:rFonts w:hint="eastAsia"/>
          <w:color w:val="auto"/>
          <w:szCs w:val="32"/>
          <w:lang w:val="en-US" w:eastAsia="zh-CN"/>
        </w:rPr>
        <w:t>三、绩效评价工作开展情况</w:t>
      </w:r>
    </w:p>
    <w:p w14:paraId="7AD6772F">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1"/>
        <w:rPr>
          <w:rFonts w:ascii="楷体" w:hAnsi="楷体" w:eastAsia="楷体"/>
          <w:b/>
          <w:bCs/>
          <w:color w:val="auto"/>
          <w:sz w:val="32"/>
          <w:szCs w:val="32"/>
          <w:highlight w:val="none"/>
        </w:rPr>
      </w:pPr>
      <w:r>
        <w:rPr>
          <w:rFonts w:hint="eastAsia" w:ascii="楷体" w:hAnsi="楷体" w:eastAsia="楷体"/>
          <w:b/>
          <w:bCs/>
          <w:color w:val="auto"/>
          <w:sz w:val="32"/>
          <w:szCs w:val="32"/>
          <w:highlight w:val="none"/>
        </w:rPr>
        <w:t>（一）绩效评价目的</w:t>
      </w:r>
    </w:p>
    <w:p w14:paraId="6CCBEFCB">
      <w:pPr>
        <w:pStyle w:val="8"/>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color w:val="auto"/>
          <w:highlight w:val="none"/>
        </w:rPr>
      </w:pPr>
      <w:r>
        <w:rPr>
          <w:rFonts w:hint="eastAsia" w:ascii="仿宋" w:hAnsi="仿宋" w:eastAsia="仿宋" w:cs="仿宋"/>
          <w:bCs/>
          <w:color w:val="auto"/>
          <w:sz w:val="32"/>
          <w:szCs w:val="32"/>
          <w:highlight w:val="none"/>
        </w:rPr>
        <w:t>为全面贯彻落实《中共中央国务院关于全面实施预算绩效管理的意见》（中发〔2018〕34号）、《四川省关于全面实施预算绩效管理的实施意见》（川委发〔2019〕8号）</w:t>
      </w:r>
      <w:r>
        <w:rPr>
          <w:rFonts w:hint="eastAsia" w:ascii="仿宋" w:hAnsi="仿宋" w:eastAsia="仿宋" w:cs="仿宋"/>
          <w:bCs/>
          <w:color w:val="auto"/>
          <w:sz w:val="32"/>
          <w:szCs w:val="32"/>
          <w:highlight w:val="none"/>
          <w:lang w:eastAsia="zh-CN"/>
        </w:rPr>
        <w:t>、</w:t>
      </w:r>
      <w:r>
        <w:rPr>
          <w:rFonts w:hint="eastAsia" w:ascii="仿宋" w:hAnsi="仿宋" w:eastAsia="仿宋" w:cs="仿宋"/>
          <w:bCs/>
          <w:color w:val="auto"/>
          <w:sz w:val="32"/>
          <w:szCs w:val="32"/>
          <w:highlight w:val="none"/>
        </w:rPr>
        <w:t>《关于开展2022年财政重点绩效评价工作的通知》（遂东区财发〔2022〕8号）等文件</w:t>
      </w:r>
      <w:r>
        <w:rPr>
          <w:rFonts w:hint="eastAsia" w:ascii="仿宋" w:hAnsi="仿宋" w:eastAsia="仿宋" w:cs="仿宋"/>
          <w:bCs/>
          <w:color w:val="auto"/>
          <w:sz w:val="32"/>
          <w:szCs w:val="32"/>
          <w:highlight w:val="none"/>
          <w:lang w:val="en-US" w:eastAsia="zh-CN"/>
        </w:rPr>
        <w:t>精神</w:t>
      </w:r>
      <w:r>
        <w:rPr>
          <w:rFonts w:hint="eastAsia" w:ascii="仿宋" w:hAnsi="仿宋" w:eastAsia="仿宋" w:cs="仿宋"/>
          <w:bCs/>
          <w:color w:val="auto"/>
          <w:sz w:val="32"/>
          <w:szCs w:val="32"/>
          <w:highlight w:val="none"/>
        </w:rPr>
        <w:t>，对</w:t>
      </w:r>
      <w:r>
        <w:rPr>
          <w:rFonts w:hint="eastAsia" w:ascii="仿宋" w:hAnsi="仿宋" w:eastAsia="仿宋" w:cs="仿宋"/>
          <w:bCs/>
          <w:color w:val="auto"/>
          <w:sz w:val="32"/>
          <w:szCs w:val="32"/>
          <w:highlight w:val="none"/>
          <w:lang w:val="en-US" w:eastAsia="zh-CN"/>
        </w:rPr>
        <w:t>房征中心</w:t>
      </w:r>
      <w:r>
        <w:rPr>
          <w:rFonts w:hint="eastAsia" w:ascii="仿宋" w:hAnsi="仿宋" w:eastAsia="仿宋" w:cs="仿宋"/>
          <w:bCs/>
          <w:color w:val="auto"/>
          <w:sz w:val="32"/>
          <w:szCs w:val="32"/>
          <w:highlight w:val="none"/>
        </w:rPr>
        <w:t>的</w:t>
      </w:r>
      <w:r>
        <w:rPr>
          <w:rFonts w:hint="eastAsia" w:ascii="仿宋" w:hAnsi="仿宋" w:eastAsia="仿宋" w:cs="仿宋"/>
          <w:bCs/>
          <w:color w:val="auto"/>
          <w:sz w:val="32"/>
          <w:szCs w:val="32"/>
          <w:highlight w:val="none"/>
          <w:lang w:val="en-US" w:eastAsia="zh-CN"/>
        </w:rPr>
        <w:t>基本履职绩效、重点履职绩效</w:t>
      </w:r>
      <w:r>
        <w:rPr>
          <w:rFonts w:hint="eastAsia" w:ascii="仿宋" w:hAnsi="仿宋" w:eastAsia="仿宋" w:cs="仿宋"/>
          <w:bCs/>
          <w:color w:val="auto"/>
          <w:sz w:val="32"/>
          <w:szCs w:val="32"/>
          <w:highlight w:val="none"/>
        </w:rPr>
        <w:t>情况</w:t>
      </w:r>
      <w:r>
        <w:rPr>
          <w:rFonts w:hint="eastAsia" w:ascii="仿宋" w:hAnsi="仿宋" w:eastAsia="仿宋" w:cs="仿宋"/>
          <w:bCs/>
          <w:color w:val="auto"/>
          <w:sz w:val="32"/>
          <w:szCs w:val="32"/>
          <w:highlight w:val="none"/>
          <w:lang w:val="en-US" w:eastAsia="zh-CN"/>
        </w:rPr>
        <w:t>和满意度</w:t>
      </w:r>
      <w:r>
        <w:rPr>
          <w:rFonts w:hint="eastAsia" w:ascii="仿宋" w:hAnsi="仿宋" w:eastAsia="仿宋" w:cs="仿宋"/>
          <w:bCs/>
          <w:color w:val="auto"/>
          <w:sz w:val="32"/>
          <w:szCs w:val="32"/>
          <w:highlight w:val="none"/>
        </w:rPr>
        <w:t>开展绩效评价。通过评价工作的实施，</w:t>
      </w:r>
      <w:r>
        <w:rPr>
          <w:rFonts w:hint="eastAsia" w:ascii="仿宋" w:hAnsi="仿宋" w:eastAsia="仿宋"/>
          <w:bCs/>
          <w:color w:val="auto"/>
          <w:sz w:val="32"/>
          <w:szCs w:val="32"/>
          <w:highlight w:val="none"/>
        </w:rPr>
        <w:t>全面反映</w:t>
      </w:r>
      <w:r>
        <w:rPr>
          <w:rFonts w:hint="eastAsia" w:ascii="仿宋" w:hAnsi="仿宋" w:eastAsia="仿宋" w:cs="仿宋"/>
          <w:bCs/>
          <w:color w:val="auto"/>
          <w:sz w:val="32"/>
          <w:szCs w:val="32"/>
          <w:highlight w:val="none"/>
          <w:lang w:val="en-US" w:eastAsia="zh-CN"/>
        </w:rPr>
        <w:t>房征中心</w:t>
      </w:r>
      <w:r>
        <w:rPr>
          <w:rFonts w:hint="eastAsia" w:ascii="仿宋" w:hAnsi="仿宋" w:eastAsia="仿宋"/>
          <w:bCs/>
          <w:color w:val="auto"/>
          <w:sz w:val="32"/>
          <w:szCs w:val="32"/>
          <w:highlight w:val="none"/>
        </w:rPr>
        <w:t>本级预算管理和核心业务实施效果，</w:t>
      </w:r>
      <w:r>
        <w:rPr>
          <w:rFonts w:hint="eastAsia" w:ascii="仿宋" w:hAnsi="仿宋" w:eastAsia="仿宋" w:cs="仿宋"/>
          <w:bCs/>
          <w:color w:val="auto"/>
          <w:sz w:val="32"/>
          <w:szCs w:val="32"/>
          <w:highlight w:val="none"/>
        </w:rPr>
        <w:t>总结经验、发现问题、剖析原因、提出改进建议，</w:t>
      </w:r>
      <w:r>
        <w:rPr>
          <w:rFonts w:hint="eastAsia" w:ascii="仿宋" w:hAnsi="仿宋" w:eastAsia="仿宋"/>
          <w:bCs/>
          <w:color w:val="auto"/>
          <w:sz w:val="32"/>
          <w:szCs w:val="32"/>
          <w:highlight w:val="none"/>
        </w:rPr>
        <w:t>促进单位科学决策、规范管理，提高部门整体绩效水平及财政资源配置效率和使用效益。</w:t>
      </w:r>
    </w:p>
    <w:p w14:paraId="70207839">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1"/>
        <w:rPr>
          <w:rFonts w:ascii="楷体" w:hAnsi="楷体" w:eastAsia="楷体"/>
          <w:b/>
          <w:bCs/>
          <w:color w:val="auto"/>
          <w:sz w:val="32"/>
          <w:szCs w:val="32"/>
        </w:rPr>
      </w:pPr>
      <w:r>
        <w:rPr>
          <w:rFonts w:hint="eastAsia" w:ascii="楷体" w:hAnsi="楷体" w:eastAsia="楷体"/>
          <w:b/>
          <w:bCs/>
          <w:color w:val="auto"/>
          <w:sz w:val="32"/>
          <w:szCs w:val="32"/>
        </w:rPr>
        <w:t>（二）绩效评价原则、方法与标准</w:t>
      </w:r>
    </w:p>
    <w:p w14:paraId="7A2EDA10">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2"/>
        <w:rPr>
          <w:rFonts w:hint="eastAsia" w:ascii="仿宋" w:hAnsi="仿宋" w:eastAsia="仿宋" w:cs="仿宋"/>
          <w:b/>
          <w:color w:val="auto"/>
          <w:sz w:val="32"/>
          <w:szCs w:val="32"/>
        </w:rPr>
      </w:pPr>
      <w:r>
        <w:rPr>
          <w:rFonts w:ascii="仿宋" w:hAnsi="仿宋" w:eastAsia="仿宋" w:cs="仿宋"/>
          <w:b/>
          <w:color w:val="auto"/>
          <w:sz w:val="32"/>
          <w:szCs w:val="32"/>
        </w:rPr>
        <w:t>1.</w:t>
      </w:r>
      <w:r>
        <w:rPr>
          <w:rFonts w:hint="eastAsia" w:ascii="仿宋" w:hAnsi="仿宋" w:eastAsia="仿宋" w:cs="仿宋"/>
          <w:b/>
          <w:color w:val="auto"/>
          <w:sz w:val="32"/>
          <w:szCs w:val="32"/>
        </w:rPr>
        <w:t>评价原则</w:t>
      </w:r>
    </w:p>
    <w:p w14:paraId="6B53A435">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本次评价工作本着问题导向、系统评价、科学客观、讲求绩效的原则，采用全面评价和重点评价相结合、现场评价和非现场评价相结合、定性分析与定量分析相结合的方式，对</w:t>
      </w:r>
      <w:r>
        <w:rPr>
          <w:rFonts w:hint="eastAsia" w:ascii="仿宋" w:hAnsi="仿宋" w:eastAsia="仿宋" w:cs="仿宋"/>
          <w:bCs/>
          <w:color w:val="auto"/>
          <w:sz w:val="32"/>
          <w:szCs w:val="32"/>
          <w:lang w:val="en-US" w:eastAsia="zh-CN"/>
        </w:rPr>
        <w:t>房征中心</w:t>
      </w:r>
      <w:r>
        <w:rPr>
          <w:rFonts w:hint="eastAsia" w:ascii="仿宋" w:hAnsi="仿宋" w:eastAsia="仿宋" w:cs="仿宋"/>
          <w:bCs/>
          <w:color w:val="auto"/>
          <w:sz w:val="32"/>
          <w:szCs w:val="32"/>
        </w:rPr>
        <w:t>整体的</w:t>
      </w:r>
      <w:r>
        <w:rPr>
          <w:rFonts w:hint="eastAsia" w:ascii="仿宋" w:hAnsi="仿宋" w:eastAsia="仿宋" w:cs="仿宋"/>
          <w:bCs/>
          <w:color w:val="auto"/>
          <w:sz w:val="32"/>
          <w:szCs w:val="32"/>
          <w:lang w:val="en-US" w:eastAsia="zh-CN"/>
        </w:rPr>
        <w:t>基本履职绩效和重点履职绩效</w:t>
      </w:r>
      <w:r>
        <w:rPr>
          <w:rFonts w:hint="eastAsia" w:ascii="仿宋" w:hAnsi="仿宋" w:eastAsia="仿宋" w:cs="仿宋"/>
          <w:bCs/>
          <w:color w:val="auto"/>
          <w:sz w:val="32"/>
          <w:szCs w:val="32"/>
        </w:rPr>
        <w:t>情况开展绩效评价</w:t>
      </w:r>
    </w:p>
    <w:p w14:paraId="062660CE">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2"/>
        <w:rPr>
          <w:rFonts w:ascii="仿宋" w:hAnsi="仿宋" w:eastAsia="仿宋" w:cs="仿宋"/>
          <w:b/>
          <w:color w:val="auto"/>
          <w:sz w:val="32"/>
          <w:szCs w:val="32"/>
        </w:rPr>
      </w:pPr>
      <w:r>
        <w:rPr>
          <w:rFonts w:ascii="仿宋" w:hAnsi="仿宋" w:eastAsia="仿宋" w:cs="仿宋"/>
          <w:b/>
          <w:color w:val="auto"/>
          <w:sz w:val="32"/>
          <w:szCs w:val="32"/>
        </w:rPr>
        <w:t>2.</w:t>
      </w:r>
      <w:r>
        <w:rPr>
          <w:rFonts w:hint="eastAsia" w:ascii="仿宋" w:hAnsi="仿宋" w:eastAsia="仿宋" w:cs="仿宋"/>
          <w:b/>
          <w:color w:val="auto"/>
          <w:sz w:val="32"/>
          <w:szCs w:val="32"/>
        </w:rPr>
        <w:t>评价方法</w:t>
      </w:r>
    </w:p>
    <w:p w14:paraId="50229F94">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围绕</w:t>
      </w:r>
      <w:r>
        <w:rPr>
          <w:rFonts w:hint="eastAsia" w:ascii="仿宋" w:hAnsi="仿宋" w:eastAsia="仿宋" w:cs="仿宋"/>
          <w:bCs/>
          <w:color w:val="auto"/>
          <w:sz w:val="32"/>
          <w:szCs w:val="32"/>
          <w:highlight w:val="none"/>
          <w:lang w:val="en-US" w:eastAsia="zh-CN"/>
        </w:rPr>
        <w:t>房征中心</w:t>
      </w:r>
      <w:r>
        <w:rPr>
          <w:rFonts w:hint="eastAsia" w:ascii="仿宋" w:hAnsi="仿宋" w:eastAsia="仿宋" w:cs="仿宋"/>
          <w:bCs/>
          <w:color w:val="auto"/>
          <w:sz w:val="32"/>
          <w:szCs w:val="32"/>
        </w:rPr>
        <w:t>单位职责，以预算资金管理为主线，统筹考虑业务活动，立足统计工作的定位，确保“职能-机构-资金-</w:t>
      </w:r>
      <w:r>
        <w:rPr>
          <w:rFonts w:hint="eastAsia" w:ascii="仿宋" w:hAnsi="仿宋" w:eastAsia="仿宋" w:cs="仿宋"/>
          <w:bCs/>
          <w:color w:val="auto"/>
          <w:sz w:val="32"/>
          <w:szCs w:val="32"/>
          <w:lang w:val="en-US" w:eastAsia="zh-CN"/>
        </w:rPr>
        <w:t>绩效</w:t>
      </w:r>
      <w:r>
        <w:rPr>
          <w:rFonts w:hint="eastAsia" w:ascii="仿宋" w:hAnsi="仿宋" w:eastAsia="仿宋" w:cs="仿宋"/>
          <w:bCs/>
          <w:color w:val="auto"/>
          <w:sz w:val="32"/>
          <w:szCs w:val="32"/>
        </w:rPr>
        <w:t>”的有效衔接。评价过程中主要采用卷宗研究法、对比分析法、公众评判法、成本效益分析法、因素分析法等方法。</w:t>
      </w:r>
    </w:p>
    <w:p w14:paraId="1B8CBC5B">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2"/>
        <w:rPr>
          <w:rFonts w:hint="eastAsia" w:ascii="仿宋" w:hAnsi="仿宋" w:eastAsia="仿宋" w:cs="仿宋"/>
          <w:b/>
          <w:color w:val="auto"/>
          <w:sz w:val="32"/>
          <w:szCs w:val="32"/>
        </w:rPr>
      </w:pPr>
      <w:r>
        <w:rPr>
          <w:rFonts w:hint="eastAsia" w:ascii="仿宋" w:hAnsi="仿宋" w:eastAsia="仿宋" w:cs="仿宋"/>
          <w:b/>
          <w:color w:val="auto"/>
          <w:sz w:val="32"/>
          <w:szCs w:val="32"/>
        </w:rPr>
        <w:t>3.评价指标体系</w:t>
      </w:r>
    </w:p>
    <w:p w14:paraId="68B53065">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lang w:eastAsia="zh-CN"/>
        </w:rPr>
      </w:pPr>
      <w:r>
        <w:rPr>
          <w:rFonts w:hint="eastAsia" w:ascii="仿宋" w:hAnsi="仿宋" w:eastAsia="仿宋" w:cs="仿宋"/>
          <w:bCs/>
          <w:color w:val="auto"/>
          <w:sz w:val="32"/>
          <w:szCs w:val="32"/>
        </w:rPr>
        <w:t>本次评价工作设置指标体系包括</w:t>
      </w:r>
      <w:r>
        <w:rPr>
          <w:rFonts w:hint="eastAsia" w:ascii="仿宋" w:hAnsi="仿宋" w:eastAsia="仿宋" w:cs="仿宋"/>
          <w:bCs/>
          <w:color w:val="auto"/>
          <w:sz w:val="32"/>
          <w:szCs w:val="32"/>
          <w:lang w:val="en-US" w:eastAsia="zh-CN"/>
        </w:rPr>
        <w:t>部门预算管理、绩效结果应用和自评质量3</w:t>
      </w:r>
      <w:r>
        <w:rPr>
          <w:rFonts w:hint="eastAsia" w:ascii="仿宋" w:hAnsi="仿宋" w:eastAsia="仿宋" w:cs="仿宋"/>
          <w:bCs/>
          <w:color w:val="auto"/>
          <w:sz w:val="32"/>
          <w:szCs w:val="32"/>
        </w:rPr>
        <w:t>个一级指标，</w:t>
      </w:r>
      <w:r>
        <w:rPr>
          <w:rFonts w:hint="eastAsia" w:ascii="仿宋" w:hAnsi="仿宋" w:eastAsia="仿宋" w:cs="仿宋"/>
          <w:bCs/>
          <w:color w:val="auto"/>
          <w:sz w:val="32"/>
          <w:szCs w:val="32"/>
          <w:lang w:val="en-US" w:eastAsia="zh-CN"/>
        </w:rPr>
        <w:t>6</w:t>
      </w:r>
      <w:r>
        <w:rPr>
          <w:rFonts w:hint="eastAsia" w:ascii="仿宋" w:hAnsi="仿宋" w:eastAsia="仿宋" w:cs="仿宋"/>
          <w:bCs/>
          <w:color w:val="auto"/>
          <w:sz w:val="32"/>
          <w:szCs w:val="32"/>
        </w:rPr>
        <w:t>个二级指标和</w:t>
      </w:r>
      <w:r>
        <w:rPr>
          <w:rFonts w:hint="eastAsia" w:ascii="仿宋" w:hAnsi="仿宋" w:eastAsia="仿宋" w:cs="仿宋"/>
          <w:bCs/>
          <w:color w:val="auto"/>
          <w:sz w:val="32"/>
          <w:szCs w:val="32"/>
          <w:lang w:val="en-US" w:eastAsia="zh-CN"/>
        </w:rPr>
        <w:t>12</w:t>
      </w:r>
      <w:r>
        <w:rPr>
          <w:rFonts w:hint="eastAsia" w:ascii="仿宋" w:hAnsi="仿宋" w:eastAsia="仿宋" w:cs="仿宋"/>
          <w:bCs/>
          <w:color w:val="auto"/>
          <w:sz w:val="32"/>
          <w:szCs w:val="32"/>
        </w:rPr>
        <w:t>个三级指标，指标体系详见附件。指标体系</w:t>
      </w:r>
      <w:r>
        <w:rPr>
          <w:rFonts w:hint="eastAsia" w:ascii="仿宋" w:hAnsi="仿宋" w:eastAsia="仿宋" w:cs="仿宋"/>
          <w:bCs/>
          <w:color w:val="auto"/>
          <w:sz w:val="32"/>
          <w:szCs w:val="32"/>
          <w:lang w:eastAsia="zh-CN"/>
        </w:rPr>
        <w:t>分值</w:t>
      </w:r>
      <w:r>
        <w:rPr>
          <w:rFonts w:hint="eastAsia" w:ascii="仿宋" w:hAnsi="仿宋" w:eastAsia="仿宋" w:cs="仿宋"/>
          <w:bCs/>
          <w:color w:val="auto"/>
          <w:sz w:val="32"/>
          <w:szCs w:val="32"/>
        </w:rPr>
        <w:t>为100分</w:t>
      </w:r>
      <w:r>
        <w:rPr>
          <w:rFonts w:hint="eastAsia" w:ascii="仿宋" w:hAnsi="仿宋" w:eastAsia="仿宋" w:cs="仿宋"/>
          <w:bCs/>
          <w:color w:val="auto"/>
          <w:sz w:val="32"/>
          <w:szCs w:val="32"/>
          <w:lang w:eastAsia="zh-CN"/>
        </w:rPr>
        <w:t>。</w:t>
      </w:r>
    </w:p>
    <w:p w14:paraId="456A47A8">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2"/>
        <w:rPr>
          <w:rFonts w:hint="eastAsia" w:ascii="仿宋" w:hAnsi="仿宋" w:eastAsia="仿宋" w:cs="仿宋"/>
          <w:b/>
          <w:color w:val="auto"/>
          <w:sz w:val="32"/>
          <w:szCs w:val="32"/>
          <w:lang w:eastAsia="zh-CN"/>
        </w:rPr>
      </w:pPr>
      <w:r>
        <w:rPr>
          <w:rFonts w:hint="eastAsia" w:ascii="仿宋" w:hAnsi="仿宋" w:eastAsia="仿宋" w:cs="仿宋"/>
          <w:b/>
          <w:color w:val="auto"/>
          <w:sz w:val="32"/>
          <w:szCs w:val="32"/>
          <w:lang w:val="en-US" w:eastAsia="zh-CN"/>
        </w:rPr>
        <w:t>4.</w:t>
      </w:r>
      <w:r>
        <w:rPr>
          <w:rFonts w:hint="eastAsia" w:ascii="仿宋" w:hAnsi="仿宋" w:eastAsia="仿宋" w:cs="仿宋"/>
          <w:b/>
          <w:color w:val="auto"/>
          <w:sz w:val="32"/>
          <w:szCs w:val="32"/>
          <w:lang w:eastAsia="zh-CN"/>
        </w:rPr>
        <w:t>评价标准</w:t>
      </w:r>
    </w:p>
    <w:p w14:paraId="1D44D961">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lang w:eastAsia="zh-CN"/>
        </w:rPr>
      </w:pPr>
      <w:r>
        <w:rPr>
          <w:rFonts w:hint="eastAsia" w:ascii="仿宋" w:hAnsi="仿宋" w:eastAsia="仿宋" w:cs="仿宋"/>
          <w:bCs/>
          <w:color w:val="auto"/>
          <w:sz w:val="32"/>
          <w:szCs w:val="32"/>
          <w:lang w:eastAsia="zh-CN"/>
        </w:rPr>
        <w:t>本次评价结果参考《财政部关于印发&lt;项目支出绩效评价管理办法&gt;的通知》（财预〔2020〕10号）要求分为四个等级，分为优、良、中、差。</w:t>
      </w:r>
    </w:p>
    <w:p w14:paraId="4C627EAF">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lang w:eastAsia="zh-CN"/>
        </w:rPr>
      </w:pPr>
      <w:r>
        <w:rPr>
          <w:rFonts w:hint="eastAsia" w:ascii="仿宋" w:hAnsi="仿宋" w:eastAsia="仿宋" w:cs="仿宋"/>
          <w:bCs/>
          <w:color w:val="auto"/>
          <w:sz w:val="32"/>
          <w:szCs w:val="32"/>
          <w:lang w:eastAsia="zh-CN"/>
        </w:rPr>
        <w:t>综合得分在100—90分（含90分）为优；</w:t>
      </w:r>
    </w:p>
    <w:p w14:paraId="0B14B7D7">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lang w:eastAsia="zh-CN"/>
        </w:rPr>
      </w:pPr>
      <w:r>
        <w:rPr>
          <w:rFonts w:hint="eastAsia" w:ascii="仿宋" w:hAnsi="仿宋" w:eastAsia="仿宋" w:cs="仿宋"/>
          <w:bCs/>
          <w:color w:val="auto"/>
          <w:sz w:val="32"/>
          <w:szCs w:val="32"/>
          <w:lang w:eastAsia="zh-CN"/>
        </w:rPr>
        <w:t>综合得分在90—80分（含80分）为良；</w:t>
      </w:r>
    </w:p>
    <w:p w14:paraId="6EC285D6">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lang w:eastAsia="zh-CN"/>
        </w:rPr>
      </w:pPr>
      <w:r>
        <w:rPr>
          <w:rFonts w:hint="eastAsia" w:ascii="仿宋" w:hAnsi="仿宋" w:eastAsia="仿宋" w:cs="仿宋"/>
          <w:bCs/>
          <w:color w:val="auto"/>
          <w:sz w:val="32"/>
          <w:szCs w:val="32"/>
          <w:lang w:eastAsia="zh-CN"/>
        </w:rPr>
        <w:t>综合得分在80—60分（含60分）为中；</w:t>
      </w:r>
    </w:p>
    <w:p w14:paraId="228FA209">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lang w:eastAsia="zh-CN"/>
        </w:rPr>
      </w:pPr>
      <w:r>
        <w:rPr>
          <w:rFonts w:hint="eastAsia" w:ascii="仿宋" w:hAnsi="仿宋" w:eastAsia="仿宋" w:cs="仿宋"/>
          <w:bCs/>
          <w:color w:val="auto"/>
          <w:sz w:val="32"/>
          <w:szCs w:val="32"/>
          <w:lang w:eastAsia="zh-CN"/>
        </w:rPr>
        <w:t>综合得分在60分以下为差。</w:t>
      </w:r>
    </w:p>
    <w:p w14:paraId="004865B4">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1"/>
        <w:rPr>
          <w:rFonts w:ascii="楷体" w:hAnsi="楷体" w:eastAsia="楷体"/>
          <w:b/>
          <w:bCs/>
          <w:color w:val="auto"/>
          <w:sz w:val="32"/>
          <w:szCs w:val="32"/>
        </w:rPr>
      </w:pPr>
      <w:r>
        <w:rPr>
          <w:rFonts w:hint="eastAsia" w:ascii="楷体" w:hAnsi="楷体" w:eastAsia="楷体"/>
          <w:b/>
          <w:bCs/>
          <w:color w:val="auto"/>
          <w:sz w:val="32"/>
          <w:szCs w:val="32"/>
        </w:rPr>
        <w:t>（三）绩效评价工作过程</w:t>
      </w:r>
    </w:p>
    <w:p w14:paraId="2C22FBCD">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2"/>
        <w:rPr>
          <w:rFonts w:ascii="仿宋" w:hAnsi="仿宋" w:eastAsia="仿宋" w:cs="仿宋"/>
          <w:b/>
          <w:color w:val="auto"/>
          <w:sz w:val="32"/>
          <w:szCs w:val="32"/>
        </w:rPr>
      </w:pPr>
      <w:r>
        <w:rPr>
          <w:rFonts w:ascii="仿宋" w:hAnsi="仿宋" w:eastAsia="仿宋" w:cs="仿宋"/>
          <w:b/>
          <w:color w:val="auto"/>
          <w:sz w:val="32"/>
          <w:szCs w:val="32"/>
        </w:rPr>
        <w:t>1.</w:t>
      </w:r>
      <w:r>
        <w:rPr>
          <w:rFonts w:hint="eastAsia" w:ascii="仿宋" w:hAnsi="仿宋" w:eastAsia="仿宋" w:cs="仿宋"/>
          <w:b/>
          <w:color w:val="auto"/>
          <w:sz w:val="32"/>
          <w:szCs w:val="32"/>
        </w:rPr>
        <w:t>准备阶段</w:t>
      </w:r>
    </w:p>
    <w:p w14:paraId="41B2518F">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接受</w:t>
      </w:r>
      <w:r>
        <w:rPr>
          <w:rFonts w:hint="eastAsia" w:ascii="仿宋" w:hAnsi="仿宋" w:eastAsia="仿宋" w:cs="仿宋"/>
          <w:bCs/>
          <w:color w:val="auto"/>
          <w:sz w:val="32"/>
          <w:szCs w:val="32"/>
          <w:lang w:val="en-US" w:eastAsia="zh-CN"/>
        </w:rPr>
        <w:t>遂宁市河东新区财政金融国资管理局委托</w:t>
      </w:r>
      <w:r>
        <w:rPr>
          <w:rFonts w:hint="eastAsia" w:ascii="仿宋" w:hAnsi="仿宋" w:eastAsia="仿宋" w:cs="仿宋"/>
          <w:bCs/>
          <w:color w:val="auto"/>
          <w:sz w:val="32"/>
          <w:szCs w:val="32"/>
        </w:rPr>
        <w:t>，组建评价工作组。与单位财务管理部对接，明确具体工作安排及要求，初步沟通并收取部分单位基础材料。通过查看</w:t>
      </w:r>
      <w:r>
        <w:rPr>
          <w:rFonts w:hint="eastAsia" w:ascii="仿宋" w:hAnsi="仿宋" w:eastAsia="仿宋" w:cs="仿宋"/>
          <w:bCs/>
          <w:color w:val="auto"/>
          <w:sz w:val="32"/>
          <w:szCs w:val="32"/>
          <w:lang w:val="en-US" w:eastAsia="zh-CN"/>
        </w:rPr>
        <w:t>房征中心</w:t>
      </w:r>
      <w:r>
        <w:rPr>
          <w:rFonts w:hint="eastAsia" w:ascii="仿宋" w:hAnsi="仿宋" w:eastAsia="仿宋" w:cs="仿宋"/>
          <w:bCs/>
          <w:color w:val="auto"/>
          <w:sz w:val="32"/>
          <w:szCs w:val="32"/>
        </w:rPr>
        <w:t>初步提交的资料，及网上查阅资料，了解</w:t>
      </w:r>
      <w:r>
        <w:rPr>
          <w:rFonts w:hint="eastAsia" w:ascii="仿宋" w:hAnsi="仿宋" w:eastAsia="仿宋" w:cs="仿宋"/>
          <w:bCs/>
          <w:color w:val="auto"/>
          <w:sz w:val="32"/>
          <w:szCs w:val="32"/>
          <w:lang w:eastAsia="zh-CN"/>
        </w:rPr>
        <w:t>房征中心</w:t>
      </w:r>
      <w:r>
        <w:rPr>
          <w:rFonts w:hint="eastAsia" w:ascii="仿宋" w:hAnsi="仿宋" w:eastAsia="仿宋" w:cs="仿宋"/>
          <w:bCs/>
          <w:color w:val="auto"/>
          <w:sz w:val="32"/>
          <w:szCs w:val="32"/>
        </w:rPr>
        <w:t>整体情况、各</w:t>
      </w:r>
      <w:r>
        <w:rPr>
          <w:rFonts w:hint="eastAsia" w:ascii="仿宋" w:hAnsi="仿宋" w:eastAsia="仿宋" w:cs="仿宋"/>
          <w:bCs/>
          <w:color w:val="auto"/>
          <w:sz w:val="32"/>
          <w:szCs w:val="32"/>
          <w:lang w:val="en-US" w:eastAsia="zh-CN"/>
        </w:rPr>
        <w:t>办公室</w:t>
      </w:r>
      <w:r>
        <w:rPr>
          <w:rFonts w:hint="eastAsia" w:ascii="仿宋" w:hAnsi="仿宋" w:eastAsia="仿宋" w:cs="仿宋"/>
          <w:bCs/>
          <w:color w:val="auto"/>
          <w:sz w:val="32"/>
          <w:szCs w:val="32"/>
        </w:rPr>
        <w:t>工作职责及20</w:t>
      </w:r>
      <w:r>
        <w:rPr>
          <w:rFonts w:hint="eastAsia" w:ascii="仿宋" w:hAnsi="仿宋" w:eastAsia="仿宋" w:cs="仿宋"/>
          <w:bCs/>
          <w:color w:val="auto"/>
          <w:sz w:val="32"/>
          <w:szCs w:val="32"/>
          <w:lang w:val="en-US" w:eastAsia="zh-CN"/>
        </w:rPr>
        <w:t>21</w:t>
      </w:r>
      <w:r>
        <w:rPr>
          <w:rFonts w:hint="eastAsia" w:ascii="仿宋" w:hAnsi="仿宋" w:eastAsia="仿宋" w:cs="仿宋"/>
          <w:bCs/>
          <w:color w:val="auto"/>
          <w:sz w:val="32"/>
          <w:szCs w:val="32"/>
        </w:rPr>
        <w:t>年工作完成情况，明确评价思路，初步拟定评价指标体系及评分标准。</w:t>
      </w:r>
    </w:p>
    <w:p w14:paraId="31D95850">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2"/>
        <w:rPr>
          <w:rFonts w:ascii="仿宋" w:hAnsi="仿宋" w:eastAsia="仿宋" w:cs="仿宋"/>
          <w:b/>
          <w:color w:val="auto"/>
          <w:sz w:val="32"/>
          <w:szCs w:val="32"/>
        </w:rPr>
      </w:pPr>
      <w:r>
        <w:rPr>
          <w:rFonts w:ascii="仿宋" w:hAnsi="仿宋" w:eastAsia="仿宋" w:cs="仿宋"/>
          <w:b/>
          <w:color w:val="auto"/>
          <w:sz w:val="32"/>
          <w:szCs w:val="32"/>
        </w:rPr>
        <w:t>2.</w:t>
      </w:r>
      <w:r>
        <w:rPr>
          <w:rFonts w:hint="eastAsia" w:ascii="仿宋" w:hAnsi="仿宋" w:eastAsia="仿宋" w:cs="仿宋"/>
          <w:b/>
          <w:color w:val="auto"/>
          <w:sz w:val="32"/>
          <w:szCs w:val="32"/>
        </w:rPr>
        <w:t>实施阶段</w:t>
      </w:r>
    </w:p>
    <w:p w14:paraId="1191CE39">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cs="仿宋"/>
          <w:bCs/>
          <w:color w:val="auto"/>
          <w:sz w:val="32"/>
          <w:szCs w:val="32"/>
        </w:rPr>
      </w:pPr>
      <w:r>
        <w:rPr>
          <w:rFonts w:hint="eastAsia" w:ascii="仿宋" w:hAnsi="仿宋" w:eastAsia="仿宋" w:cs="仿宋"/>
          <w:bCs/>
          <w:color w:val="auto"/>
          <w:sz w:val="32"/>
          <w:szCs w:val="32"/>
        </w:rPr>
        <w:t>按照既定的安排开展现场评价工作。评价工作组逐一对单位本级各</w:t>
      </w:r>
      <w:r>
        <w:rPr>
          <w:rFonts w:hint="eastAsia" w:ascii="仿宋" w:hAnsi="仿宋" w:eastAsia="仿宋" w:cs="仿宋"/>
          <w:bCs/>
          <w:color w:val="auto"/>
          <w:sz w:val="32"/>
          <w:szCs w:val="32"/>
          <w:lang w:val="en-US" w:eastAsia="zh-CN"/>
        </w:rPr>
        <w:t>办公室</w:t>
      </w:r>
      <w:r>
        <w:rPr>
          <w:rFonts w:hint="eastAsia" w:ascii="仿宋" w:hAnsi="仿宋" w:eastAsia="仿宋" w:cs="仿宋"/>
          <w:bCs/>
          <w:color w:val="auto"/>
          <w:sz w:val="32"/>
          <w:szCs w:val="32"/>
        </w:rPr>
        <w:t>进行座谈，了解各</w:t>
      </w:r>
      <w:r>
        <w:rPr>
          <w:rFonts w:hint="eastAsia" w:ascii="仿宋" w:hAnsi="仿宋" w:eastAsia="仿宋" w:cs="仿宋"/>
          <w:bCs/>
          <w:color w:val="auto"/>
          <w:sz w:val="32"/>
          <w:szCs w:val="32"/>
          <w:lang w:val="en-US" w:eastAsia="zh-CN"/>
        </w:rPr>
        <w:t>办公室</w:t>
      </w:r>
      <w:r>
        <w:rPr>
          <w:rFonts w:hint="eastAsia" w:ascii="仿宋" w:hAnsi="仿宋" w:eastAsia="仿宋" w:cs="仿宋"/>
          <w:bCs/>
          <w:color w:val="auto"/>
          <w:sz w:val="32"/>
          <w:szCs w:val="32"/>
        </w:rPr>
        <w:t>工作职责、年度工作内容及完成情况等。同时对单位</w:t>
      </w:r>
      <w:r>
        <w:rPr>
          <w:rFonts w:hint="eastAsia" w:ascii="仿宋" w:hAnsi="仿宋" w:eastAsia="仿宋" w:cs="仿宋"/>
          <w:bCs/>
          <w:color w:val="auto"/>
          <w:sz w:val="32"/>
          <w:szCs w:val="32"/>
          <w:lang w:val="en-US" w:eastAsia="zh-CN"/>
        </w:rPr>
        <w:t>2021</w:t>
      </w:r>
      <w:r>
        <w:rPr>
          <w:rFonts w:hint="eastAsia" w:ascii="仿宋" w:hAnsi="仿宋" w:eastAsia="仿宋" w:cs="仿宋"/>
          <w:bCs/>
          <w:color w:val="auto"/>
          <w:sz w:val="32"/>
          <w:szCs w:val="32"/>
        </w:rPr>
        <w:t>年财务工作情况进行梳理及资料查看。</w:t>
      </w:r>
    </w:p>
    <w:p w14:paraId="59AD4BE3">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在座谈调研沟通的基础上，评价机构通过对项目资料的进一步分析，并结合现场调研了解的情况，对项目的疑难点进行梳理，同时补收评价资料。</w:t>
      </w:r>
    </w:p>
    <w:p w14:paraId="01BB6622">
      <w:pPr>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2"/>
        <w:rPr>
          <w:rFonts w:ascii="仿宋" w:hAnsi="仿宋" w:eastAsia="仿宋" w:cs="仿宋"/>
          <w:b/>
          <w:color w:val="auto"/>
          <w:sz w:val="32"/>
          <w:szCs w:val="32"/>
        </w:rPr>
      </w:pPr>
      <w:r>
        <w:rPr>
          <w:rFonts w:ascii="仿宋" w:hAnsi="仿宋" w:eastAsia="仿宋" w:cs="仿宋"/>
          <w:b/>
          <w:color w:val="auto"/>
          <w:sz w:val="32"/>
          <w:szCs w:val="32"/>
        </w:rPr>
        <w:t>3.</w:t>
      </w:r>
      <w:r>
        <w:rPr>
          <w:rFonts w:hint="eastAsia" w:ascii="仿宋" w:hAnsi="仿宋" w:eastAsia="仿宋" w:cs="仿宋"/>
          <w:b/>
          <w:color w:val="auto"/>
          <w:sz w:val="32"/>
          <w:szCs w:val="32"/>
        </w:rPr>
        <w:t>总结报告阶段</w:t>
      </w:r>
    </w:p>
    <w:p w14:paraId="0D9CF784">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评价工作组在梳理、分析调研资料和相关数据的基础上，结合文献研究，对单位整体的投入、过程、产出和效益等方面进行综合分析和评价，形成绩效评价结论，按照规定的文本格式和内容撰写绩效评价报告</w:t>
      </w:r>
      <w:r>
        <w:rPr>
          <w:rFonts w:hint="eastAsia" w:ascii="仿宋" w:hAnsi="仿宋" w:eastAsia="仿宋" w:cs="仿宋"/>
          <w:bCs/>
          <w:color w:val="auto"/>
          <w:sz w:val="32"/>
          <w:szCs w:val="32"/>
          <w:lang w:eastAsia="zh-CN"/>
        </w:rPr>
        <w:t>，</w:t>
      </w:r>
      <w:r>
        <w:rPr>
          <w:rFonts w:hint="eastAsia" w:ascii="仿宋" w:hAnsi="仿宋" w:eastAsia="仿宋" w:cs="仿宋"/>
          <w:bCs/>
          <w:color w:val="auto"/>
          <w:sz w:val="32"/>
          <w:szCs w:val="32"/>
          <w:lang w:val="en-US" w:eastAsia="zh-CN"/>
        </w:rPr>
        <w:t>并征求委托单位意见，修改完善报告，完成报告质量内部质控等工作</w:t>
      </w:r>
      <w:r>
        <w:rPr>
          <w:rFonts w:hint="eastAsia" w:ascii="仿宋" w:hAnsi="仿宋" w:eastAsia="仿宋" w:cs="仿宋"/>
          <w:bCs/>
          <w:color w:val="auto"/>
          <w:sz w:val="32"/>
          <w:szCs w:val="32"/>
        </w:rPr>
        <w:t>。</w:t>
      </w:r>
    </w:p>
    <w:p w14:paraId="7B416B10">
      <w:pPr>
        <w:pStyle w:val="3"/>
        <w:pageBreakBefore w:val="0"/>
        <w:numPr>
          <w:ilvl w:val="0"/>
          <w:numId w:val="0"/>
        </w:numPr>
        <w:kinsoku/>
        <w:wordWrap/>
        <w:overflowPunct/>
        <w:topLinePunct w:val="0"/>
        <w:autoSpaceDE/>
        <w:autoSpaceDN/>
        <w:bidi w:val="0"/>
        <w:spacing w:line="560" w:lineRule="exact"/>
        <w:ind w:leftChars="200"/>
        <w:rPr>
          <w:rFonts w:hint="eastAsia"/>
          <w:color w:val="auto"/>
        </w:rPr>
      </w:pPr>
      <w:r>
        <w:rPr>
          <w:rFonts w:hint="eastAsia"/>
          <w:color w:val="auto"/>
          <w:lang w:eastAsia="zh-CN"/>
        </w:rPr>
        <w:t>四、</w:t>
      </w:r>
      <w:r>
        <w:rPr>
          <w:rFonts w:hint="eastAsia"/>
          <w:color w:val="auto"/>
        </w:rPr>
        <w:t>基本运行绩效情况</w:t>
      </w:r>
    </w:p>
    <w:p w14:paraId="68562EF5">
      <w:pPr>
        <w:pStyle w:val="5"/>
        <w:pageBreakBefore w:val="0"/>
        <w:widowControl w:val="0"/>
        <w:kinsoku/>
        <w:wordWrap/>
        <w:overflowPunct/>
        <w:topLinePunct w:val="0"/>
        <w:autoSpaceDE/>
        <w:autoSpaceDN/>
        <w:bidi w:val="0"/>
        <w:snapToGrid/>
        <w:spacing w:line="560" w:lineRule="exact"/>
        <w:ind w:left="-10" w:leftChars="0" w:firstLine="643" w:firstLineChars="200"/>
        <w:textAlignment w:val="auto"/>
        <w:rPr>
          <w:color w:val="auto"/>
        </w:rPr>
      </w:pPr>
      <w:r>
        <w:rPr>
          <w:rFonts w:hint="eastAsia"/>
          <w:color w:val="auto"/>
          <w:lang w:val="en-US" w:eastAsia="zh-CN"/>
        </w:rPr>
        <w:t>预算管理情况</w:t>
      </w:r>
    </w:p>
    <w:p w14:paraId="5E5762E8">
      <w:pPr>
        <w:pStyle w:val="6"/>
        <w:pageBreakBefore w:val="0"/>
        <w:widowControl w:val="0"/>
        <w:numPr>
          <w:ilvl w:val="-1"/>
          <w:numId w:val="0"/>
          <w:ins w:id="5" w:author="WPS_10036724" w:date=""/>
        </w:numPr>
        <w:kinsoku/>
        <w:wordWrap/>
        <w:overflowPunct/>
        <w:topLinePunct w:val="0"/>
        <w:autoSpaceDE/>
        <w:autoSpaceDN/>
        <w:bidi w:val="0"/>
        <w:snapToGrid/>
        <w:spacing w:line="560" w:lineRule="exact"/>
        <w:ind w:left="0" w:leftChars="0" w:firstLine="842" w:firstLineChars="262"/>
        <w:textAlignment w:val="auto"/>
        <w:outlineLvl w:val="2"/>
        <w:rPr>
          <w:rFonts w:hint="eastAsia" w:ascii="仿宋" w:hAnsi="仿宋" w:eastAsia="仿宋" w:cs="仿宋"/>
          <w:b/>
          <w:bCs w:val="0"/>
          <w:color w:val="auto"/>
        </w:rPr>
      </w:pPr>
      <w:r>
        <w:rPr>
          <w:rFonts w:hint="eastAsia" w:ascii="仿宋" w:hAnsi="仿宋" w:eastAsia="仿宋" w:cs="仿宋"/>
          <w:b/>
          <w:bCs w:val="0"/>
          <w:color w:val="auto"/>
          <w:lang w:val="en-US" w:eastAsia="zh-CN"/>
        </w:rPr>
        <w:t>1、内控</w:t>
      </w:r>
      <w:r>
        <w:rPr>
          <w:rFonts w:hint="eastAsia" w:ascii="仿宋" w:hAnsi="仿宋" w:eastAsia="仿宋" w:cs="仿宋"/>
          <w:b/>
          <w:bCs w:val="0"/>
          <w:color w:val="auto"/>
        </w:rPr>
        <w:t>制度建设</w:t>
      </w:r>
    </w:p>
    <w:p w14:paraId="7B9CD285">
      <w:pPr>
        <w:pStyle w:val="4"/>
        <w:pageBreakBefore w:val="0"/>
        <w:widowControl w:val="0"/>
        <w:kinsoku/>
        <w:wordWrap/>
        <w:overflowPunct/>
        <w:topLinePunct w:val="0"/>
        <w:autoSpaceDE/>
        <w:autoSpaceDN/>
        <w:bidi w:val="0"/>
        <w:spacing w:line="560" w:lineRule="exact"/>
        <w:ind w:firstLine="640" w:firstLineChars="200"/>
        <w:textAlignment w:val="auto"/>
        <w:rPr>
          <w:rFonts w:hint="default"/>
          <w:color w:val="auto"/>
          <w:highlight w:val="yellow"/>
          <w:lang w:val="en-US"/>
        </w:rPr>
      </w:pPr>
      <w:r>
        <w:rPr>
          <w:rFonts w:hint="eastAsia"/>
          <w:color w:val="auto"/>
          <w:lang w:val="en-US" w:eastAsia="zh-CN"/>
        </w:rPr>
        <w:t>房征中心</w:t>
      </w:r>
      <w:r>
        <w:rPr>
          <w:rFonts w:hint="eastAsia"/>
          <w:color w:val="auto"/>
        </w:rPr>
        <w:t>根据《行政事业单位内部控制规范》（财会〔201</w:t>
      </w:r>
      <w:r>
        <w:rPr>
          <w:rFonts w:hint="eastAsia"/>
          <w:color w:val="auto"/>
          <w:lang w:val="en-US" w:eastAsia="zh-CN"/>
        </w:rPr>
        <w:t>2</w:t>
      </w:r>
      <w:r>
        <w:rPr>
          <w:rFonts w:hint="eastAsia"/>
          <w:color w:val="auto"/>
        </w:rPr>
        <w:t>〕</w:t>
      </w:r>
      <w:r>
        <w:rPr>
          <w:rFonts w:hint="eastAsia"/>
          <w:color w:val="auto"/>
          <w:lang w:val="en-US" w:eastAsia="zh-CN"/>
        </w:rPr>
        <w:t>21</w:t>
      </w:r>
      <w:r>
        <w:rPr>
          <w:rFonts w:hint="eastAsia"/>
          <w:color w:val="auto"/>
        </w:rPr>
        <w:t>号）</w:t>
      </w:r>
      <w:r>
        <w:rPr>
          <w:rFonts w:hint="eastAsia"/>
          <w:color w:val="auto"/>
          <w:lang w:eastAsia="zh-CN"/>
        </w:rPr>
        <w:t>、《财政部关于全面推进行政事业单位内部控制建设的指导意见》</w:t>
      </w:r>
      <w:r>
        <w:rPr>
          <w:rFonts w:hint="eastAsia"/>
          <w:color w:val="auto"/>
        </w:rPr>
        <w:t>财会〔201</w:t>
      </w:r>
      <w:r>
        <w:rPr>
          <w:rFonts w:hint="eastAsia"/>
          <w:color w:val="auto"/>
          <w:lang w:val="en-US" w:eastAsia="zh-CN"/>
        </w:rPr>
        <w:t>5</w:t>
      </w:r>
      <w:r>
        <w:rPr>
          <w:rFonts w:hint="eastAsia"/>
          <w:color w:val="auto"/>
        </w:rPr>
        <w:t>〕</w:t>
      </w:r>
      <w:r>
        <w:rPr>
          <w:rFonts w:hint="eastAsia"/>
          <w:color w:val="auto"/>
          <w:lang w:val="en-US" w:eastAsia="zh-CN"/>
        </w:rPr>
        <w:t>24</w:t>
      </w:r>
      <w:r>
        <w:rPr>
          <w:rFonts w:hint="eastAsia"/>
          <w:color w:val="auto"/>
        </w:rPr>
        <w:t>号）和《行政事业单位内部控制报告管理制度</w:t>
      </w:r>
      <w:r>
        <w:rPr>
          <w:rFonts w:hint="eastAsia"/>
          <w:color w:val="auto"/>
          <w:highlight w:val="none"/>
        </w:rPr>
        <w:t>（试行）（</w:t>
      </w:r>
      <w:r>
        <w:rPr>
          <w:rFonts w:hint="eastAsia"/>
          <w:color w:val="auto"/>
          <w:highlight w:val="none"/>
          <w:lang w:val="en-US" w:eastAsia="zh-CN"/>
        </w:rPr>
        <w:t>财政部</w:t>
      </w:r>
      <w:r>
        <w:rPr>
          <w:rFonts w:hint="eastAsia"/>
          <w:color w:val="auto"/>
          <w:highlight w:val="none"/>
        </w:rPr>
        <w:t>〔201</w:t>
      </w:r>
      <w:r>
        <w:rPr>
          <w:rFonts w:hint="eastAsia"/>
          <w:color w:val="auto"/>
          <w:highlight w:val="none"/>
          <w:lang w:val="en-US" w:eastAsia="zh-CN"/>
        </w:rPr>
        <w:t>7</w:t>
      </w:r>
      <w:r>
        <w:rPr>
          <w:rFonts w:hint="eastAsia"/>
          <w:color w:val="auto"/>
          <w:highlight w:val="none"/>
        </w:rPr>
        <w:t>〕</w:t>
      </w:r>
      <w:r>
        <w:rPr>
          <w:rFonts w:hint="eastAsia"/>
          <w:color w:val="auto"/>
          <w:highlight w:val="none"/>
          <w:lang w:val="en-US" w:eastAsia="zh-CN"/>
        </w:rPr>
        <w:t>3</w:t>
      </w:r>
      <w:r>
        <w:rPr>
          <w:rFonts w:hint="eastAsia"/>
          <w:color w:val="auto"/>
          <w:highlight w:val="none"/>
        </w:rPr>
        <w:t>号）和自身工作管理实际情况，</w:t>
      </w:r>
      <w:r>
        <w:rPr>
          <w:rFonts w:hint="eastAsia"/>
          <w:color w:val="auto"/>
          <w:highlight w:val="none"/>
          <w:lang w:val="en-US" w:eastAsia="zh-CN"/>
        </w:rPr>
        <w:t>制定</w:t>
      </w:r>
      <w:r>
        <w:rPr>
          <w:rFonts w:hint="eastAsia"/>
          <w:color w:val="auto"/>
          <w:highlight w:val="none"/>
        </w:rPr>
        <w:t>《</w:t>
      </w:r>
      <w:r>
        <w:rPr>
          <w:rFonts w:hint="eastAsia"/>
          <w:color w:val="auto"/>
          <w:highlight w:val="none"/>
          <w:lang w:val="en-US" w:eastAsia="zh-CN"/>
        </w:rPr>
        <w:t>房屋征收事务中心内部控制规范建设手册汇编》</w:t>
      </w:r>
      <w:r>
        <w:rPr>
          <w:rFonts w:hint="eastAsia"/>
          <w:color w:val="auto"/>
          <w:highlight w:val="none"/>
        </w:rPr>
        <w:t>，</w:t>
      </w:r>
      <w:r>
        <w:rPr>
          <w:rFonts w:hint="eastAsia"/>
          <w:color w:val="auto"/>
          <w:highlight w:val="none"/>
          <w:lang w:val="en-US" w:eastAsia="zh-CN"/>
        </w:rPr>
        <w:t>内容明确</w:t>
      </w:r>
      <w:r>
        <w:rPr>
          <w:rFonts w:hint="eastAsia"/>
          <w:color w:val="auto"/>
          <w:highlight w:val="none"/>
        </w:rPr>
        <w:t>了</w:t>
      </w:r>
      <w:r>
        <w:rPr>
          <w:rFonts w:hint="eastAsia"/>
          <w:color w:val="auto"/>
          <w:highlight w:val="none"/>
          <w:lang w:eastAsia="zh-CN"/>
        </w:rPr>
        <w:t>房征中心</w:t>
      </w:r>
      <w:r>
        <w:rPr>
          <w:rFonts w:hint="eastAsia"/>
          <w:color w:val="auto"/>
          <w:highlight w:val="none"/>
        </w:rPr>
        <w:t>管理机构</w:t>
      </w:r>
      <w:r>
        <w:rPr>
          <w:rFonts w:hint="eastAsia"/>
          <w:color w:val="auto"/>
          <w:highlight w:val="none"/>
          <w:lang w:eastAsia="zh-CN"/>
        </w:rPr>
        <w:t>、</w:t>
      </w:r>
      <w:r>
        <w:rPr>
          <w:rFonts w:hint="eastAsia"/>
          <w:color w:val="auto"/>
          <w:highlight w:val="none"/>
        </w:rPr>
        <w:t>职责</w:t>
      </w:r>
      <w:r>
        <w:rPr>
          <w:rFonts w:hint="eastAsia"/>
          <w:color w:val="auto"/>
          <w:highlight w:val="none"/>
          <w:lang w:val="en-US" w:eastAsia="zh-CN"/>
        </w:rPr>
        <w:t>职责</w:t>
      </w:r>
      <w:r>
        <w:rPr>
          <w:rFonts w:hint="eastAsia"/>
          <w:color w:val="auto"/>
          <w:highlight w:val="none"/>
        </w:rPr>
        <w:t>、</w:t>
      </w:r>
      <w:r>
        <w:rPr>
          <w:rFonts w:hint="eastAsia"/>
          <w:color w:val="auto"/>
          <w:highlight w:val="none"/>
          <w:lang w:val="en-US" w:eastAsia="zh-CN"/>
        </w:rPr>
        <w:t>预算业务控制建设、收支业务控制建设、资产业务控制建设、采购业务控制建设和内部控制评价与监督等内容</w:t>
      </w:r>
      <w:r>
        <w:rPr>
          <w:rFonts w:hint="eastAsia"/>
          <w:color w:val="auto"/>
          <w:highlight w:val="none"/>
        </w:rPr>
        <w:t>。经评价组核查，</w:t>
      </w:r>
      <w:r>
        <w:rPr>
          <w:rFonts w:hint="eastAsia"/>
          <w:color w:val="auto"/>
          <w:highlight w:val="none"/>
          <w:lang w:val="en-US" w:eastAsia="zh-CN"/>
        </w:rPr>
        <w:t>制度内容合法规范，图表完整。</w:t>
      </w:r>
    </w:p>
    <w:p w14:paraId="5C80249B">
      <w:pPr>
        <w:pStyle w:val="4"/>
        <w:pageBreakBefore w:val="0"/>
        <w:widowControl w:val="0"/>
        <w:kinsoku/>
        <w:wordWrap/>
        <w:overflowPunct/>
        <w:topLinePunct w:val="0"/>
        <w:autoSpaceDE/>
        <w:autoSpaceDN/>
        <w:bidi w:val="0"/>
        <w:spacing w:line="560" w:lineRule="exact"/>
        <w:ind w:firstLine="643" w:firstLineChars="200"/>
        <w:textAlignment w:val="auto"/>
        <w:outlineLvl w:val="2"/>
        <w:rPr>
          <w:rFonts w:hint="default"/>
          <w:b/>
          <w:bCs/>
          <w:color w:val="auto"/>
          <w:highlight w:val="none"/>
          <w:lang w:val="en-US" w:eastAsia="zh-CN"/>
        </w:rPr>
      </w:pPr>
      <w:r>
        <w:rPr>
          <w:rFonts w:hint="eastAsia"/>
          <w:b/>
          <w:bCs/>
          <w:color w:val="auto"/>
          <w:highlight w:val="none"/>
          <w:lang w:val="en-US" w:eastAsia="zh-CN"/>
        </w:rPr>
        <w:t>2、预决算信息公开情况</w:t>
      </w:r>
    </w:p>
    <w:p w14:paraId="36CFEBF9">
      <w:pPr>
        <w:pStyle w:val="4"/>
        <w:pageBreakBefore w:val="0"/>
        <w:widowControl w:val="0"/>
        <w:kinsoku/>
        <w:wordWrap/>
        <w:overflowPunct/>
        <w:topLinePunct w:val="0"/>
        <w:autoSpaceDE/>
        <w:autoSpaceDN/>
        <w:bidi w:val="0"/>
        <w:snapToGrid/>
        <w:spacing w:line="560" w:lineRule="exact"/>
        <w:ind w:firstLine="640" w:firstLineChars="200"/>
        <w:textAlignment w:val="auto"/>
        <w:rPr>
          <w:rFonts w:hint="eastAsia"/>
          <w:color w:val="auto"/>
          <w:highlight w:val="none"/>
          <w:lang w:val="en-US" w:eastAsia="zh-CN"/>
        </w:rPr>
      </w:pPr>
      <w:r>
        <w:rPr>
          <w:rFonts w:hint="eastAsia"/>
          <w:color w:val="auto"/>
          <w:highlight w:val="none"/>
          <w:lang w:val="en-US" w:eastAsia="zh-CN"/>
        </w:rPr>
        <w:t>房征中心</w:t>
      </w:r>
      <w:r>
        <w:rPr>
          <w:rFonts w:hint="eastAsia"/>
          <w:color w:val="auto"/>
          <w:lang w:val="en-US" w:eastAsia="zh-CN"/>
        </w:rPr>
        <w:t>严格按照遂宁市河东新区财政金融国资管理局预决算信息公开要求，</w:t>
      </w:r>
      <w:r>
        <w:rPr>
          <w:rFonts w:hint="eastAsia"/>
          <w:color w:val="auto"/>
          <w:highlight w:val="none"/>
          <w:lang w:val="en-US" w:eastAsia="zh-CN"/>
        </w:rPr>
        <w:t>2021年预算编制说明和附件、2021年决算公开编制说明和附件已按规定公开于遂宁市河东新区政府信息公开网</w:t>
      </w:r>
      <w:r>
        <w:rPr>
          <w:rFonts w:hint="eastAsia"/>
          <w:color w:val="auto"/>
          <w:lang w:val="en-US" w:eastAsia="zh-CN"/>
        </w:rPr>
        <w:t>，信息真实、完整</w:t>
      </w:r>
      <w:r>
        <w:rPr>
          <w:rFonts w:hint="eastAsia"/>
          <w:color w:val="auto"/>
          <w:highlight w:val="none"/>
          <w:lang w:val="en-US" w:eastAsia="zh-CN"/>
        </w:rPr>
        <w:t>，符合信息公开相关法律法规规定。</w:t>
      </w:r>
    </w:p>
    <w:p w14:paraId="13C8B254">
      <w:pPr>
        <w:pStyle w:val="5"/>
        <w:pageBreakBefore w:val="0"/>
        <w:widowControl w:val="0"/>
        <w:kinsoku/>
        <w:wordWrap/>
        <w:overflowPunct/>
        <w:topLinePunct w:val="0"/>
        <w:autoSpaceDE/>
        <w:autoSpaceDN/>
        <w:bidi w:val="0"/>
        <w:snapToGrid/>
        <w:spacing w:line="560" w:lineRule="exact"/>
        <w:ind w:left="-10" w:leftChars="0" w:firstLine="643" w:firstLineChars="200"/>
        <w:textAlignment w:val="auto"/>
        <w:rPr>
          <w:color w:val="auto"/>
        </w:rPr>
      </w:pPr>
      <w:r>
        <w:rPr>
          <w:rFonts w:hint="eastAsia"/>
          <w:color w:val="auto"/>
        </w:rPr>
        <w:t>财务管理</w:t>
      </w:r>
    </w:p>
    <w:p w14:paraId="3A0D7F68">
      <w:pPr>
        <w:pStyle w:val="4"/>
        <w:pageBreakBefore w:val="0"/>
        <w:widowControl w:val="0"/>
        <w:kinsoku/>
        <w:wordWrap/>
        <w:overflowPunct/>
        <w:topLinePunct w:val="0"/>
        <w:autoSpaceDE/>
        <w:autoSpaceDN/>
        <w:bidi w:val="0"/>
        <w:snapToGrid/>
        <w:spacing w:line="560" w:lineRule="exact"/>
        <w:ind w:firstLine="640" w:firstLineChars="200"/>
        <w:textAlignment w:val="auto"/>
        <w:rPr>
          <w:rFonts w:hint="eastAsia" w:eastAsia="仿宋_GB2312"/>
          <w:color w:val="auto"/>
          <w:lang w:val="en-US" w:eastAsia="zh-CN"/>
        </w:rPr>
      </w:pPr>
      <w:r>
        <w:rPr>
          <w:rFonts w:hint="eastAsia"/>
          <w:color w:val="auto"/>
          <w:lang w:val="en-US" w:eastAsia="zh-CN"/>
        </w:rPr>
        <w:t>在资金的使用和管理方面，房征中心依据《中华人民共和国会计法》等相关管理办法和文件，制定《财务管理制度》、《报销票据的管理制度》、经费报销管理制度》等相关财务制度，</w:t>
      </w:r>
      <w:r>
        <w:rPr>
          <w:color w:val="auto"/>
        </w:rPr>
        <w:t>对财务报销、</w:t>
      </w:r>
      <w:r>
        <w:rPr>
          <w:rFonts w:hint="eastAsia"/>
          <w:color w:val="auto"/>
          <w:lang w:val="en-US" w:eastAsia="zh-CN"/>
        </w:rPr>
        <w:t>差旅费</w:t>
      </w:r>
      <w:r>
        <w:rPr>
          <w:color w:val="auto"/>
        </w:rPr>
        <w:t>等各环节作了详细规定</w:t>
      </w:r>
      <w:r>
        <w:rPr>
          <w:rFonts w:hint="eastAsia"/>
          <w:color w:val="auto"/>
          <w:lang w:eastAsia="zh-CN"/>
        </w:rPr>
        <w:t>，</w:t>
      </w:r>
      <w:r>
        <w:rPr>
          <w:rFonts w:hint="eastAsia"/>
          <w:color w:val="auto"/>
          <w:lang w:val="en-US" w:eastAsia="zh-CN"/>
        </w:rPr>
        <w:t>财务管理制度规范、健全。评价组随机抽查“信访维稳工作经费”项目的</w:t>
      </w:r>
      <w:r>
        <w:rPr>
          <w:rFonts w:hint="eastAsia"/>
          <w:color w:val="auto"/>
        </w:rPr>
        <w:t>凭证</w:t>
      </w:r>
      <w:r>
        <w:rPr>
          <w:rFonts w:hint="eastAsia"/>
          <w:color w:val="auto"/>
          <w:lang w:eastAsia="zh-CN"/>
        </w:rPr>
        <w:t>，</w:t>
      </w:r>
      <w:r>
        <w:rPr>
          <w:rFonts w:hint="eastAsia"/>
          <w:color w:val="auto"/>
          <w:lang w:val="en-US" w:eastAsia="zh-CN"/>
        </w:rPr>
        <w:t>房征中心按照规定程序，</w:t>
      </w:r>
      <w:r>
        <w:rPr>
          <w:rFonts w:hint="eastAsia"/>
          <w:color w:val="auto"/>
        </w:rPr>
        <w:t>票据齐全</w:t>
      </w:r>
      <w:r>
        <w:rPr>
          <w:rFonts w:hint="eastAsia"/>
          <w:color w:val="auto"/>
          <w:lang w:eastAsia="zh-CN"/>
        </w:rPr>
        <w:t>，</w:t>
      </w:r>
      <w:r>
        <w:rPr>
          <w:rFonts w:hint="eastAsia"/>
          <w:color w:val="auto"/>
          <w:lang w:val="en-US" w:eastAsia="zh-CN"/>
        </w:rPr>
        <w:t>实行逐级审批后支付，</w:t>
      </w:r>
      <w:r>
        <w:rPr>
          <w:rFonts w:hint="eastAsia"/>
          <w:color w:val="auto"/>
        </w:rPr>
        <w:t>审批流程规范</w:t>
      </w:r>
      <w:r>
        <w:rPr>
          <w:rFonts w:hint="eastAsia"/>
          <w:color w:val="auto"/>
          <w:lang w:eastAsia="zh-CN"/>
        </w:rPr>
        <w:t>，</w:t>
      </w:r>
      <w:r>
        <w:rPr>
          <w:rFonts w:hint="eastAsia"/>
          <w:color w:val="auto"/>
          <w:lang w:val="en-US" w:eastAsia="zh-CN"/>
        </w:rPr>
        <w:t>符合管理制度的规定</w:t>
      </w:r>
      <w:r>
        <w:rPr>
          <w:rFonts w:hint="eastAsia"/>
          <w:color w:val="auto"/>
          <w:lang w:eastAsia="zh-CN"/>
        </w:rPr>
        <w:t>。</w:t>
      </w:r>
    </w:p>
    <w:p w14:paraId="6E25CB59">
      <w:pPr>
        <w:pStyle w:val="5"/>
        <w:pageBreakBefore w:val="0"/>
        <w:widowControl w:val="0"/>
        <w:kinsoku/>
        <w:wordWrap/>
        <w:overflowPunct/>
        <w:topLinePunct w:val="0"/>
        <w:autoSpaceDE/>
        <w:autoSpaceDN/>
        <w:bidi w:val="0"/>
        <w:snapToGrid/>
        <w:spacing w:line="560" w:lineRule="exact"/>
        <w:ind w:left="-10" w:leftChars="0" w:firstLine="643" w:firstLineChars="200"/>
        <w:textAlignment w:val="auto"/>
        <w:rPr>
          <w:rFonts w:hint="eastAsia"/>
          <w:color w:val="auto"/>
          <w:lang w:val="en-US" w:eastAsia="zh-CN"/>
        </w:rPr>
      </w:pPr>
      <w:r>
        <w:rPr>
          <w:rFonts w:hint="eastAsia"/>
          <w:color w:val="auto"/>
          <w:lang w:val="en-US" w:eastAsia="zh-Hans"/>
        </w:rPr>
        <w:t>政府采购</w:t>
      </w:r>
    </w:p>
    <w:p w14:paraId="69FC2ED7">
      <w:pPr>
        <w:pStyle w:val="4"/>
        <w:pageBreakBefore w:val="0"/>
        <w:kinsoku/>
        <w:wordWrap/>
        <w:overflowPunct/>
        <w:topLinePunct w:val="0"/>
        <w:autoSpaceDE/>
        <w:autoSpaceDN/>
        <w:bidi w:val="0"/>
        <w:spacing w:line="560" w:lineRule="exact"/>
        <w:ind w:firstLine="640" w:firstLineChars="200"/>
        <w:textAlignment w:val="auto"/>
        <w:rPr>
          <w:rFonts w:hint="eastAsia"/>
          <w:color w:val="auto"/>
          <w:lang w:val="en-US" w:eastAsia="zh-CN"/>
        </w:rPr>
      </w:pPr>
      <w:r>
        <w:rPr>
          <w:rFonts w:hint="eastAsia"/>
          <w:color w:val="auto"/>
          <w:lang w:val="en-US" w:eastAsia="zh-CN"/>
        </w:rPr>
        <w:t>房征中心制定《采购业务控制建设》制度，形成了公平竞争、规范管理和社会监督的政府采购机制，</w:t>
      </w:r>
      <w:r>
        <w:rPr>
          <w:rFonts w:hint="eastAsia"/>
          <w:color w:val="auto"/>
          <w:highlight w:val="none"/>
          <w:lang w:val="en-US" w:eastAsia="zh-CN"/>
        </w:rPr>
        <w:t>2021年房征中心无公开采购项目，其设立的政府采购程序规范。</w:t>
      </w:r>
    </w:p>
    <w:p w14:paraId="33D92B4C">
      <w:pPr>
        <w:pStyle w:val="5"/>
        <w:pageBreakBefore w:val="0"/>
        <w:widowControl w:val="0"/>
        <w:kinsoku/>
        <w:wordWrap/>
        <w:overflowPunct/>
        <w:topLinePunct w:val="0"/>
        <w:autoSpaceDE/>
        <w:autoSpaceDN/>
        <w:bidi w:val="0"/>
        <w:snapToGrid/>
        <w:spacing w:line="560" w:lineRule="exact"/>
        <w:ind w:left="-10" w:leftChars="0" w:firstLine="643" w:firstLineChars="200"/>
        <w:textAlignment w:val="auto"/>
        <w:rPr>
          <w:rFonts w:hint="eastAsia"/>
          <w:color w:val="auto"/>
          <w:lang w:val="en-US" w:eastAsia="zh-CN"/>
        </w:rPr>
      </w:pPr>
      <w:r>
        <w:rPr>
          <w:rFonts w:hint="eastAsia"/>
          <w:color w:val="auto"/>
          <w:lang w:val="en-US" w:eastAsia="zh-CN"/>
        </w:rPr>
        <w:t>资产管理情况</w:t>
      </w:r>
    </w:p>
    <w:p w14:paraId="1B54323C">
      <w:pPr>
        <w:pStyle w:val="4"/>
        <w:pageBreakBefore w:val="0"/>
        <w:kinsoku/>
        <w:wordWrap/>
        <w:overflowPunct/>
        <w:topLinePunct w:val="0"/>
        <w:autoSpaceDE/>
        <w:autoSpaceDN/>
        <w:bidi w:val="0"/>
        <w:spacing w:line="560" w:lineRule="exact"/>
        <w:ind w:firstLine="640" w:firstLineChars="200"/>
        <w:textAlignment w:val="auto"/>
        <w:rPr>
          <w:rFonts w:hint="eastAsia"/>
          <w:color w:val="auto"/>
          <w:highlight w:val="yellow"/>
          <w:lang w:val="en-US" w:eastAsia="zh-CN"/>
        </w:rPr>
      </w:pPr>
      <w:r>
        <w:rPr>
          <w:rFonts w:hint="eastAsia"/>
          <w:color w:val="auto"/>
          <w:lang w:val="en-US" w:eastAsia="zh-CN"/>
        </w:rPr>
        <w:t>房征中心依据《行政单位财务规则》（财政部令〔2012〕第71号）等文件的规定，结合房征中心实际情况，制定《资产业务控制建设》，明确固定资产按照“资产管理与预算管理相结合、资产管理与财务管理相结合、实物管理与价值管理相结合”及“统一领导、分级管理、责任到人、合理配备、规范管理”的原则实施管理，对固定资产的固定资产范围、分类、计价、配置、使用、处置等流程也有明确规定。针对固定资产</w:t>
      </w:r>
      <w:r>
        <w:rPr>
          <w:rFonts w:hint="eastAsia"/>
          <w:color w:val="auto"/>
          <w:highlight w:val="none"/>
          <w:lang w:val="en-US" w:eastAsia="zh-CN"/>
        </w:rPr>
        <w:t>在用情况，评价组对房征中心2019年购置的通用设备如笔记本电脑、文件柜、移动硬盘等进行了抽查工作，抽查设备均处于在用状态，固定资产在用状态与实际一致。</w:t>
      </w:r>
    </w:p>
    <w:p w14:paraId="6D277398">
      <w:pPr>
        <w:pStyle w:val="3"/>
        <w:pageBreakBefore w:val="0"/>
        <w:numPr>
          <w:ilvl w:val="0"/>
          <w:numId w:val="0"/>
        </w:numPr>
        <w:kinsoku/>
        <w:wordWrap/>
        <w:overflowPunct/>
        <w:topLinePunct w:val="0"/>
        <w:autoSpaceDE/>
        <w:autoSpaceDN/>
        <w:bidi w:val="0"/>
        <w:spacing w:line="560" w:lineRule="exact"/>
        <w:ind w:leftChars="200"/>
        <w:rPr>
          <w:rFonts w:hint="eastAsia" w:ascii="Times New Roman" w:hAnsi="Times New Roman" w:eastAsia="黑体" w:cs="Times New Roman"/>
          <w:bCs/>
          <w:color w:val="auto"/>
          <w:kern w:val="44"/>
          <w:sz w:val="32"/>
          <w:szCs w:val="32"/>
          <w:lang w:val="zh-CN" w:eastAsia="zh-CN" w:bidi="ar-SA"/>
        </w:rPr>
      </w:pPr>
      <w:r>
        <w:rPr>
          <w:rFonts w:hint="eastAsia" w:cs="Times New Roman"/>
          <w:bCs/>
          <w:color w:val="auto"/>
          <w:kern w:val="44"/>
          <w:sz w:val="32"/>
          <w:szCs w:val="32"/>
          <w:lang w:val="zh-CN" w:eastAsia="zh-CN" w:bidi="ar-SA"/>
        </w:rPr>
        <w:t>五、</w:t>
      </w:r>
      <w:r>
        <w:rPr>
          <w:rFonts w:hint="eastAsia" w:ascii="Times New Roman" w:hAnsi="Times New Roman" w:eastAsia="黑体" w:cs="Times New Roman"/>
          <w:bCs/>
          <w:color w:val="auto"/>
          <w:kern w:val="44"/>
          <w:sz w:val="32"/>
          <w:szCs w:val="32"/>
          <w:lang w:val="zh-CN" w:eastAsia="zh-CN" w:bidi="ar-SA"/>
        </w:rPr>
        <w:t>部门</w:t>
      </w:r>
      <w:r>
        <w:rPr>
          <w:rFonts w:hint="eastAsia"/>
          <w:color w:val="auto"/>
          <w:szCs w:val="32"/>
          <w:lang w:val="en-US" w:eastAsia="zh-CN"/>
        </w:rPr>
        <w:t>重点</w:t>
      </w:r>
      <w:r>
        <w:rPr>
          <w:rFonts w:hint="eastAsia" w:ascii="Times New Roman" w:hAnsi="Times New Roman" w:eastAsia="黑体" w:cs="Times New Roman"/>
          <w:bCs/>
          <w:color w:val="auto"/>
          <w:kern w:val="44"/>
          <w:sz w:val="32"/>
          <w:szCs w:val="32"/>
          <w:lang w:val="zh-CN" w:eastAsia="zh-CN" w:bidi="ar-SA"/>
        </w:rPr>
        <w:t>履职效能</w:t>
      </w:r>
    </w:p>
    <w:p w14:paraId="11BBF3C3">
      <w:pPr>
        <w:pStyle w:val="5"/>
        <w:pageBreakBefore w:val="0"/>
        <w:widowControl w:val="0"/>
        <w:kinsoku/>
        <w:wordWrap/>
        <w:overflowPunct/>
        <w:topLinePunct w:val="0"/>
        <w:autoSpaceDE/>
        <w:autoSpaceDN/>
        <w:bidi w:val="0"/>
        <w:spacing w:line="560" w:lineRule="exact"/>
        <w:ind w:firstLine="643" w:firstLineChars="200"/>
        <w:textAlignment w:val="auto"/>
        <w:rPr>
          <w:color w:val="auto"/>
        </w:rPr>
      </w:pPr>
      <w:r>
        <w:rPr>
          <w:rFonts w:hint="eastAsia"/>
          <w:color w:val="auto"/>
        </w:rPr>
        <w:t>部门履职的年度总体目标</w:t>
      </w:r>
    </w:p>
    <w:p w14:paraId="07F3C5E6">
      <w:pPr>
        <w:pStyle w:val="4"/>
        <w:pageBreakBefore w:val="0"/>
        <w:widowControl w:val="0"/>
        <w:kinsoku/>
        <w:wordWrap/>
        <w:overflowPunct/>
        <w:topLinePunct w:val="0"/>
        <w:autoSpaceDE/>
        <w:autoSpaceDN/>
        <w:bidi w:val="0"/>
        <w:spacing w:line="560" w:lineRule="exact"/>
        <w:ind w:firstLine="640" w:firstLineChars="200"/>
        <w:textAlignment w:val="auto"/>
        <w:rPr>
          <w:rFonts w:hint="default"/>
          <w:color w:val="auto"/>
          <w:lang w:val="en-US" w:eastAsia="zh-CN"/>
        </w:rPr>
      </w:pPr>
      <w:r>
        <w:rPr>
          <w:rFonts w:hint="eastAsia"/>
          <w:color w:val="auto"/>
          <w:lang w:val="en-US" w:eastAsia="zh-CN"/>
        </w:rPr>
        <w:t>2021年，房征中心</w:t>
      </w:r>
      <w:r>
        <w:rPr>
          <w:rFonts w:hint="default"/>
          <w:color w:val="auto"/>
          <w:lang w:val="en-US" w:eastAsia="zh-CN"/>
        </w:rPr>
        <w:t>按照市委、市政府总体部署和工作要求</w:t>
      </w:r>
      <w:r>
        <w:rPr>
          <w:rFonts w:hint="eastAsia"/>
          <w:color w:val="auto"/>
          <w:lang w:val="en-US" w:eastAsia="zh-CN"/>
        </w:rPr>
        <w:t>，以持续推进满意度信访和维稳建设为目标，严格抓好遂宁市社会维稳工作条例的贯彻、落实和推动，积极开展源头排查化解，持续推进信访工作开展。</w:t>
      </w:r>
    </w:p>
    <w:p w14:paraId="49F7AE2E">
      <w:pPr>
        <w:pStyle w:val="5"/>
        <w:pageBreakBefore w:val="0"/>
        <w:widowControl w:val="0"/>
        <w:kinsoku/>
        <w:wordWrap/>
        <w:overflowPunct/>
        <w:topLinePunct w:val="0"/>
        <w:autoSpaceDE/>
        <w:autoSpaceDN/>
        <w:bidi w:val="0"/>
        <w:spacing w:line="560" w:lineRule="exact"/>
        <w:ind w:firstLine="643" w:firstLineChars="200"/>
        <w:textAlignment w:val="auto"/>
        <w:rPr>
          <w:color w:val="auto"/>
        </w:rPr>
      </w:pPr>
      <w:r>
        <w:rPr>
          <w:rFonts w:hint="eastAsia"/>
          <w:color w:val="auto"/>
        </w:rPr>
        <w:t>重点工作任务绩效目标完成情况</w:t>
      </w:r>
    </w:p>
    <w:p w14:paraId="54E2D876">
      <w:pPr>
        <w:pStyle w:val="6"/>
        <w:pageBreakBefore w:val="0"/>
        <w:numPr>
          <w:ilvl w:val="2"/>
          <w:numId w:val="0"/>
        </w:numPr>
        <w:kinsoku/>
        <w:wordWrap/>
        <w:overflowPunct/>
        <w:topLinePunct w:val="0"/>
        <w:autoSpaceDE/>
        <w:autoSpaceDN/>
        <w:bidi w:val="0"/>
        <w:adjustRightInd/>
        <w:spacing w:line="560" w:lineRule="exact"/>
        <w:ind w:leftChars="0" w:firstLine="643" w:firstLineChars="200"/>
        <w:rPr>
          <w:rFonts w:hint="eastAsia"/>
          <w:b/>
          <w:bCs w:val="0"/>
          <w:color w:val="auto"/>
          <w:lang w:val="en-US" w:eastAsia="zh-CN"/>
        </w:rPr>
      </w:pPr>
      <w:r>
        <w:rPr>
          <w:rFonts w:hint="eastAsia"/>
          <w:b/>
          <w:bCs w:val="0"/>
          <w:color w:val="auto"/>
          <w:lang w:val="en-US" w:eastAsia="zh-CN"/>
        </w:rPr>
        <w:t>1.矛盾纠纷多元化解工作</w:t>
      </w:r>
    </w:p>
    <w:p w14:paraId="07BEFE0C">
      <w:pPr>
        <w:pStyle w:val="4"/>
        <w:pageBreakBefore w:val="0"/>
        <w:widowControl w:val="0"/>
        <w:kinsoku/>
        <w:wordWrap/>
        <w:overflowPunct/>
        <w:topLinePunct w:val="0"/>
        <w:autoSpaceDE/>
        <w:autoSpaceDN/>
        <w:bidi w:val="0"/>
        <w:spacing w:line="560" w:lineRule="exact"/>
        <w:ind w:firstLine="640" w:firstLineChars="200"/>
        <w:textAlignment w:val="auto"/>
        <w:rPr>
          <w:rFonts w:hint="eastAsia"/>
          <w:color w:val="auto"/>
          <w:lang w:val="en-US" w:eastAsia="zh-CN"/>
        </w:rPr>
      </w:pPr>
      <w:r>
        <w:rPr>
          <w:rFonts w:hint="eastAsia"/>
          <w:color w:val="auto"/>
          <w:lang w:val="en-US" w:eastAsia="zh-CN"/>
        </w:rPr>
        <w:t>房征中心顺利完成2021年矛盾纠纷多元化解工作，截止2021年底，新区群众信访接待中心组织各级矛盾纠纷多元化解调解组织共排查出各类矛盾纠纷3572件，受理调解3572件，调解成功3561件，调处成功率为99.7%。公调对接受理调处矛盾纠纷136件，成功化解136件，成功率为100%；“诉非调解”受理调处纠纷615件，成功化解并撤诉127件。</w:t>
      </w:r>
    </w:p>
    <w:p w14:paraId="7D0D90EC">
      <w:pPr>
        <w:pStyle w:val="6"/>
        <w:pageBreakBefore w:val="0"/>
        <w:numPr>
          <w:ilvl w:val="2"/>
          <w:numId w:val="0"/>
        </w:numPr>
        <w:kinsoku/>
        <w:wordWrap/>
        <w:overflowPunct/>
        <w:topLinePunct w:val="0"/>
        <w:autoSpaceDE/>
        <w:autoSpaceDN/>
        <w:bidi w:val="0"/>
        <w:adjustRightInd/>
        <w:spacing w:line="560" w:lineRule="exact"/>
        <w:ind w:leftChars="0" w:firstLine="643" w:firstLineChars="200"/>
        <w:rPr>
          <w:rFonts w:hint="eastAsia"/>
          <w:b/>
          <w:bCs w:val="0"/>
          <w:color w:val="auto"/>
          <w:lang w:val="en-US" w:eastAsia="zh-CN"/>
        </w:rPr>
      </w:pPr>
      <w:r>
        <w:rPr>
          <w:rFonts w:hint="eastAsia"/>
          <w:b/>
          <w:bCs w:val="0"/>
          <w:color w:val="auto"/>
          <w:lang w:val="en-US" w:eastAsia="zh-CN"/>
        </w:rPr>
        <w:t>2.信访工作</w:t>
      </w:r>
    </w:p>
    <w:p w14:paraId="54499D14">
      <w:pPr>
        <w:pStyle w:val="4"/>
        <w:pageBreakBefore w:val="0"/>
        <w:widowControl w:val="0"/>
        <w:kinsoku/>
        <w:wordWrap/>
        <w:overflowPunct/>
        <w:topLinePunct w:val="0"/>
        <w:autoSpaceDE/>
        <w:autoSpaceDN/>
        <w:bidi w:val="0"/>
        <w:spacing w:line="560" w:lineRule="exact"/>
        <w:ind w:firstLine="640" w:firstLineChars="200"/>
        <w:textAlignment w:val="auto"/>
        <w:rPr>
          <w:rFonts w:hint="eastAsia"/>
          <w:color w:val="auto"/>
          <w:lang w:val="en-US" w:eastAsia="zh-CN"/>
        </w:rPr>
      </w:pPr>
      <w:r>
        <w:rPr>
          <w:rFonts w:hint="eastAsia"/>
          <w:color w:val="auto"/>
          <w:lang w:val="en-US" w:eastAsia="zh-CN"/>
        </w:rPr>
        <w:t>截至2021年底，共接待群众来电来访86批245人次，成功劝返群众到市集访（上访）26批1117人次，按时办理信访案件43件，按时办结人民网留言103件；转办、交办信访案件共计237件；转交办治重化积信访案件共计33.5件，目前已成功化解32.5件，化解率为97.01%；转交办满意度信访案件共计72件，已办结信访案件70件，对责任部门评价满意件数共计59件，不满意件数4件，超期未评价7件，目前还有2件正在办理中；对信访部门评价满意件数共62件，不满意2件，超期未评6件，目前还有2件正在办理中。</w:t>
      </w:r>
    </w:p>
    <w:p w14:paraId="49D54E9E">
      <w:pPr>
        <w:pStyle w:val="4"/>
        <w:pageBreakBefore w:val="0"/>
        <w:widowControl w:val="0"/>
        <w:kinsoku/>
        <w:wordWrap/>
        <w:overflowPunct/>
        <w:topLinePunct w:val="0"/>
        <w:autoSpaceDE/>
        <w:autoSpaceDN/>
        <w:bidi w:val="0"/>
        <w:spacing w:line="560" w:lineRule="exact"/>
        <w:ind w:firstLine="640" w:firstLineChars="200"/>
        <w:textAlignment w:val="auto"/>
        <w:rPr>
          <w:rFonts w:hint="eastAsia"/>
          <w:color w:val="auto"/>
          <w:lang w:val="en-US" w:eastAsia="zh-CN"/>
        </w:rPr>
      </w:pPr>
      <w:r>
        <w:rPr>
          <w:rFonts w:hint="eastAsia"/>
          <w:color w:val="auto"/>
          <w:lang w:val="en-US" w:eastAsia="zh-CN"/>
        </w:rPr>
        <w:t>2021年期间，针对新区信访老户多次赴省进京上访（非访、越级访）问题，信访中心继续通过约谈部分重点人员，发动其亲属开展劝导工作，采取“盯堵结合”等措施，加大对刘仕国、肖素华、邓群英等为代表的信访老户稳控工作，同时继续以新区信访老户胡开蓉、唐永红、蒋英珍等纳入新区“红袖标”成功案例为契机，加强引导、劝导新区其余信访老户纳入新区“红袖标”实现稳控工作。</w:t>
      </w:r>
    </w:p>
    <w:p w14:paraId="116B8543">
      <w:pPr>
        <w:pStyle w:val="6"/>
        <w:pageBreakBefore w:val="0"/>
        <w:numPr>
          <w:ilvl w:val="2"/>
          <w:numId w:val="0"/>
        </w:numPr>
        <w:kinsoku/>
        <w:wordWrap/>
        <w:overflowPunct/>
        <w:topLinePunct w:val="0"/>
        <w:autoSpaceDE/>
        <w:autoSpaceDN/>
        <w:bidi w:val="0"/>
        <w:adjustRightInd/>
        <w:spacing w:line="560" w:lineRule="exact"/>
        <w:ind w:leftChars="0" w:firstLine="640" w:firstLineChars="200"/>
        <w:rPr>
          <w:rFonts w:hint="default"/>
          <w:b/>
          <w:bCs w:val="0"/>
          <w:color w:val="auto"/>
          <w:lang w:val="en-US" w:eastAsia="zh-CN"/>
        </w:rPr>
      </w:pPr>
      <w:r>
        <w:rPr>
          <w:rFonts w:hint="eastAsia"/>
          <w:color w:val="auto"/>
          <w:lang w:val="en-US" w:eastAsia="zh-CN"/>
        </w:rPr>
        <w:t xml:space="preserve"> </w:t>
      </w:r>
      <w:r>
        <w:rPr>
          <w:rFonts w:hint="eastAsia"/>
          <w:b/>
          <w:bCs w:val="0"/>
          <w:color w:val="auto"/>
          <w:lang w:val="en-US" w:eastAsia="zh-CN"/>
        </w:rPr>
        <w:t>3.大力强化涉稳隐患排查及社会稳定风险评估工作</w:t>
      </w:r>
    </w:p>
    <w:p w14:paraId="061CFA60">
      <w:pPr>
        <w:pStyle w:val="4"/>
        <w:pageBreakBefore w:val="0"/>
        <w:widowControl w:val="0"/>
        <w:kinsoku/>
        <w:wordWrap/>
        <w:overflowPunct/>
        <w:topLinePunct w:val="0"/>
        <w:autoSpaceDE/>
        <w:autoSpaceDN/>
        <w:bidi w:val="0"/>
        <w:spacing w:line="560" w:lineRule="exact"/>
        <w:ind w:left="0" w:leftChars="0" w:firstLine="0" w:firstLineChars="0"/>
        <w:textAlignment w:val="auto"/>
        <w:rPr>
          <w:rFonts w:hint="eastAsia"/>
          <w:color w:val="auto"/>
          <w:lang w:val="en-US" w:eastAsia="zh-CN"/>
        </w:rPr>
      </w:pPr>
      <w:r>
        <w:rPr>
          <w:rFonts w:hint="eastAsia"/>
          <w:color w:val="auto"/>
          <w:lang w:val="en-US" w:eastAsia="zh-CN"/>
        </w:rPr>
        <w:t>房征中心通过四川省维稳平台排查录入不稳定因素492件，涉稳人员58人，2021年期间已全部落实“5+1”稳控措施，排查出的重点涉稳人员全部稳定可控；截止2021年底，共完成社会稳定风险评估报告52篇。省重、市重、区级重大政策均已完成89.7%, 全年未发生在中、省、市有影响的重大涉稳事（案）件。</w:t>
      </w:r>
    </w:p>
    <w:p w14:paraId="452E3F9C">
      <w:pPr>
        <w:pStyle w:val="3"/>
        <w:pageBreakBefore w:val="0"/>
        <w:widowControl w:val="0"/>
        <w:numPr>
          <w:ilvl w:val="0"/>
          <w:numId w:val="0"/>
        </w:numPr>
        <w:kinsoku/>
        <w:wordWrap/>
        <w:overflowPunct/>
        <w:topLinePunct w:val="0"/>
        <w:autoSpaceDE/>
        <w:autoSpaceDN/>
        <w:bidi w:val="0"/>
        <w:spacing w:line="560" w:lineRule="exact"/>
        <w:ind w:firstLine="640" w:firstLineChars="200"/>
        <w:textAlignment w:val="auto"/>
        <w:rPr>
          <w:rFonts w:hint="default" w:eastAsia="黑体"/>
          <w:color w:val="auto"/>
          <w:lang w:val="en-US" w:eastAsia="zh-CN"/>
        </w:rPr>
      </w:pPr>
      <w:r>
        <w:rPr>
          <w:rFonts w:hint="eastAsia"/>
          <w:color w:val="auto"/>
          <w:lang w:val="en-US" w:eastAsia="zh-CN"/>
        </w:rPr>
        <w:t>六、</w:t>
      </w:r>
      <w:r>
        <w:rPr>
          <w:rFonts w:hint="eastAsia"/>
          <w:color w:val="auto"/>
        </w:rPr>
        <w:t>评价结论</w:t>
      </w:r>
      <w:r>
        <w:rPr>
          <w:rFonts w:hint="eastAsia"/>
          <w:color w:val="auto"/>
          <w:lang w:val="en-US" w:eastAsia="zh-CN"/>
        </w:rPr>
        <w:t>及绩效分析</w:t>
      </w:r>
    </w:p>
    <w:p w14:paraId="0DB8C1CE">
      <w:pPr>
        <w:pStyle w:val="5"/>
        <w:pageBreakBefore w:val="0"/>
        <w:widowControl w:val="0"/>
        <w:numPr>
          <w:ilvl w:val="1"/>
          <w:numId w:val="0"/>
        </w:numPr>
        <w:kinsoku/>
        <w:wordWrap/>
        <w:overflowPunct/>
        <w:topLinePunct w:val="0"/>
        <w:autoSpaceDE/>
        <w:autoSpaceDN/>
        <w:bidi w:val="0"/>
        <w:spacing w:line="560" w:lineRule="exact"/>
        <w:ind w:leftChars="0" w:firstLine="643" w:firstLineChars="200"/>
        <w:textAlignment w:val="auto"/>
        <w:rPr>
          <w:rFonts w:hint="default" w:eastAsia="仿宋_GB2312"/>
          <w:color w:val="auto"/>
          <w:lang w:val="en-US" w:eastAsia="zh-CN"/>
        </w:rPr>
      </w:pPr>
      <w:r>
        <w:rPr>
          <w:rFonts w:hint="eastAsia"/>
          <w:color w:val="auto"/>
          <w:lang w:eastAsia="zh-CN"/>
        </w:rPr>
        <w:t>（</w:t>
      </w:r>
      <w:r>
        <w:rPr>
          <w:rFonts w:hint="eastAsia"/>
          <w:color w:val="auto"/>
          <w:lang w:val="en-US" w:eastAsia="zh-CN"/>
        </w:rPr>
        <w:t>一）</w:t>
      </w:r>
      <w:r>
        <w:rPr>
          <w:rFonts w:hint="eastAsia"/>
          <w:color w:val="auto"/>
        </w:rPr>
        <w:t>评价结论</w:t>
      </w:r>
    </w:p>
    <w:p w14:paraId="64D3618E">
      <w:pPr>
        <w:pStyle w:val="7"/>
        <w:pageBreakBefore w:val="0"/>
        <w:kinsoku/>
        <w:wordWrap/>
        <w:overflowPunct/>
        <w:topLinePunct w:val="0"/>
        <w:autoSpaceDE/>
        <w:autoSpaceDN/>
        <w:bidi w:val="0"/>
        <w:spacing w:line="560" w:lineRule="exact"/>
        <w:ind w:firstLine="640" w:firstLineChars="200"/>
        <w:rPr>
          <w:rFonts w:hint="eastAsia" w:ascii="Times New Roman" w:hAnsi="Times New Roman" w:eastAsia="仿宋_GB2312" w:cs="Times New Roman"/>
          <w:color w:val="auto"/>
          <w:kern w:val="0"/>
          <w:sz w:val="32"/>
          <w:szCs w:val="28"/>
          <w:lang w:val="zh-CN" w:eastAsia="zh-CN"/>
        </w:rPr>
      </w:pPr>
      <w:r>
        <w:rPr>
          <w:rFonts w:hint="eastAsia" w:ascii="Times New Roman" w:hAnsi="Times New Roman" w:eastAsia="仿宋_GB2312" w:cs="Times New Roman"/>
          <w:color w:val="auto"/>
          <w:kern w:val="0"/>
          <w:sz w:val="32"/>
          <w:szCs w:val="28"/>
          <w:lang w:val="zh-CN" w:eastAsia="zh-CN"/>
        </w:rPr>
        <w:t>20</w:t>
      </w:r>
      <w:r>
        <w:rPr>
          <w:rFonts w:hint="eastAsia" w:ascii="Times New Roman" w:hAnsi="Times New Roman" w:eastAsia="仿宋_GB2312" w:cs="Times New Roman"/>
          <w:color w:val="auto"/>
          <w:kern w:val="0"/>
          <w:sz w:val="32"/>
          <w:szCs w:val="28"/>
          <w:lang w:val="en-US" w:eastAsia="zh-CN"/>
        </w:rPr>
        <w:t>21</w:t>
      </w:r>
      <w:r>
        <w:rPr>
          <w:rFonts w:hint="eastAsia" w:ascii="Times New Roman" w:hAnsi="Times New Roman" w:eastAsia="仿宋_GB2312" w:cs="Times New Roman"/>
          <w:color w:val="auto"/>
          <w:kern w:val="0"/>
          <w:sz w:val="32"/>
          <w:szCs w:val="28"/>
          <w:lang w:val="zh-CN" w:eastAsia="zh-CN"/>
        </w:rPr>
        <w:t>年度房屋征收事务中心部门整体支出绩效评价综合</w:t>
      </w:r>
      <w:r>
        <w:rPr>
          <w:rFonts w:hint="eastAsia" w:ascii="Times New Roman" w:hAnsi="Times New Roman" w:eastAsia="仿宋_GB2312" w:cs="Times New Roman"/>
          <w:color w:val="auto"/>
          <w:kern w:val="0"/>
          <w:sz w:val="32"/>
          <w:szCs w:val="28"/>
          <w:lang w:val="en-US" w:eastAsia="zh-CN"/>
        </w:rPr>
        <w:t>得分</w:t>
      </w:r>
      <w:r>
        <w:rPr>
          <w:rFonts w:hint="eastAsia" w:ascii="Times New Roman" w:hAnsi="Times New Roman" w:eastAsia="仿宋_GB2312" w:cs="Times New Roman"/>
          <w:color w:val="auto"/>
          <w:kern w:val="0"/>
          <w:sz w:val="32"/>
          <w:szCs w:val="28"/>
          <w:highlight w:val="none"/>
          <w:lang w:val="en-US" w:eastAsia="zh-CN"/>
        </w:rPr>
        <w:t>为79.81分，</w:t>
      </w:r>
      <w:r>
        <w:rPr>
          <w:rFonts w:hint="eastAsia" w:ascii="Times New Roman" w:hAnsi="Times New Roman" w:eastAsia="仿宋_GB2312" w:cs="Times New Roman"/>
          <w:color w:val="auto"/>
          <w:kern w:val="0"/>
          <w:sz w:val="32"/>
          <w:szCs w:val="28"/>
          <w:highlight w:val="none"/>
          <w:lang w:val="zh-CN" w:eastAsia="zh-CN"/>
        </w:rPr>
        <w:t>具</w:t>
      </w:r>
      <w:r>
        <w:rPr>
          <w:rFonts w:hint="eastAsia" w:ascii="Times New Roman" w:hAnsi="Times New Roman" w:eastAsia="仿宋_GB2312" w:cs="Times New Roman"/>
          <w:color w:val="auto"/>
          <w:kern w:val="0"/>
          <w:sz w:val="32"/>
          <w:szCs w:val="28"/>
          <w:lang w:val="zh-CN" w:eastAsia="zh-CN"/>
        </w:rPr>
        <w:t>体评分情况见附件</w:t>
      </w:r>
      <w:r>
        <w:rPr>
          <w:rFonts w:hint="eastAsia" w:ascii="Times New Roman" w:hAnsi="Times New Roman" w:eastAsia="仿宋_GB2312" w:cs="Times New Roman"/>
          <w:color w:val="auto"/>
          <w:kern w:val="0"/>
          <w:sz w:val="32"/>
          <w:szCs w:val="28"/>
          <w:lang w:val="en-US" w:eastAsia="zh-CN"/>
        </w:rPr>
        <w:t>1，</w:t>
      </w:r>
      <w:r>
        <w:rPr>
          <w:rFonts w:hint="eastAsia" w:ascii="Times New Roman" w:hAnsi="Times New Roman" w:eastAsia="仿宋_GB2312" w:cs="Times New Roman"/>
          <w:color w:val="auto"/>
          <w:kern w:val="0"/>
          <w:sz w:val="32"/>
          <w:szCs w:val="28"/>
          <w:lang w:val="zh-CN"/>
        </w:rPr>
        <w:t>指标评分得详见下表</w:t>
      </w:r>
      <w:r>
        <w:rPr>
          <w:rFonts w:hint="eastAsia" w:ascii="Times New Roman" w:hAnsi="Times New Roman" w:eastAsia="仿宋_GB2312" w:cs="Times New Roman"/>
          <w:color w:val="auto"/>
          <w:kern w:val="0"/>
          <w:sz w:val="32"/>
          <w:szCs w:val="28"/>
          <w:lang w:val="en-US" w:eastAsia="zh-CN"/>
        </w:rPr>
        <w:t>3</w:t>
      </w:r>
      <w:r>
        <w:rPr>
          <w:rFonts w:hint="eastAsia" w:ascii="Times New Roman" w:hAnsi="Times New Roman" w:eastAsia="仿宋_GB2312" w:cs="Times New Roman"/>
          <w:color w:val="auto"/>
          <w:kern w:val="0"/>
          <w:sz w:val="32"/>
          <w:szCs w:val="28"/>
          <w:lang w:val="zh-CN" w:eastAsia="zh-CN"/>
        </w:rPr>
        <w:t>。</w:t>
      </w:r>
    </w:p>
    <w:p w14:paraId="1C522701">
      <w:pPr>
        <w:pStyle w:val="16"/>
        <w:pageBreakBefore w:val="0"/>
        <w:kinsoku/>
        <w:wordWrap/>
        <w:overflowPunct/>
        <w:topLinePunct w:val="0"/>
        <w:autoSpaceDE/>
        <w:autoSpaceDN/>
        <w:bidi w:val="0"/>
        <w:spacing w:line="560" w:lineRule="exact"/>
        <w:ind w:firstLine="482" w:firstLineChars="200"/>
        <w:textAlignment w:val="auto"/>
        <w:rPr>
          <w:color w:val="auto"/>
        </w:rPr>
      </w:pPr>
      <w:r>
        <w:rPr>
          <w:color w:val="auto"/>
        </w:rPr>
        <w:t>表</w:t>
      </w:r>
      <w:r>
        <w:rPr>
          <w:rFonts w:hint="eastAsia"/>
          <w:color w:val="auto"/>
          <w:lang w:val="en-US" w:eastAsia="zh-CN"/>
        </w:rPr>
        <w:t>3</w:t>
      </w:r>
      <w:r>
        <w:rPr>
          <w:rFonts w:hint="eastAsia"/>
          <w:color w:val="auto"/>
        </w:rPr>
        <w:t xml:space="preserve">  </w:t>
      </w:r>
      <w:r>
        <w:rPr>
          <w:color w:val="auto"/>
        </w:rPr>
        <w:t>20</w:t>
      </w:r>
      <w:r>
        <w:rPr>
          <w:rFonts w:hint="eastAsia"/>
          <w:color w:val="auto"/>
          <w:lang w:val="en-US" w:eastAsia="zh-CN"/>
        </w:rPr>
        <w:t>21</w:t>
      </w:r>
      <w:r>
        <w:rPr>
          <w:color w:val="auto"/>
        </w:rPr>
        <w:t>年</w:t>
      </w:r>
      <w:r>
        <w:rPr>
          <w:rFonts w:hint="eastAsia"/>
          <w:color w:val="auto"/>
          <w:lang w:val="en-US" w:eastAsia="zh-CN"/>
        </w:rPr>
        <w:t>房屋征收事务中心部门</w:t>
      </w:r>
      <w:r>
        <w:rPr>
          <w:color w:val="auto"/>
        </w:rPr>
        <w:t>整体支出</w:t>
      </w:r>
      <w:r>
        <w:rPr>
          <w:rFonts w:hint="eastAsia"/>
          <w:color w:val="auto"/>
          <w:lang w:eastAsia="zh-CN"/>
        </w:rPr>
        <w:t>绩效评价得分</w:t>
      </w:r>
      <w:r>
        <w:rPr>
          <w:color w:val="auto"/>
        </w:rPr>
        <w:t>情况表</w:t>
      </w:r>
    </w:p>
    <w:tbl>
      <w:tblPr>
        <w:tblStyle w:val="10"/>
        <w:tblW w:w="4997" w:type="pct"/>
        <w:tblInd w:w="0" w:type="dxa"/>
        <w:shd w:val="clear" w:color="auto" w:fill="auto"/>
        <w:tblLayout w:type="autofit"/>
        <w:tblCellMar>
          <w:top w:w="0" w:type="dxa"/>
          <w:left w:w="108" w:type="dxa"/>
          <w:bottom w:w="0" w:type="dxa"/>
          <w:right w:w="108" w:type="dxa"/>
        </w:tblCellMar>
      </w:tblPr>
      <w:tblGrid>
        <w:gridCol w:w="1892"/>
        <w:gridCol w:w="1878"/>
        <w:gridCol w:w="1871"/>
        <w:gridCol w:w="952"/>
        <w:gridCol w:w="1119"/>
        <w:gridCol w:w="1119"/>
      </w:tblGrid>
      <w:tr w14:paraId="14157148">
        <w:tblPrEx>
          <w:shd w:val="clear" w:color="auto" w:fill="auto"/>
          <w:tblCellMar>
            <w:top w:w="0" w:type="dxa"/>
            <w:left w:w="108" w:type="dxa"/>
            <w:bottom w:w="0" w:type="dxa"/>
            <w:right w:w="108" w:type="dxa"/>
          </w:tblCellMar>
        </w:tblPrEx>
        <w:trPr>
          <w:trHeight w:val="441" w:hRule="atLeast"/>
        </w:trPr>
        <w:tc>
          <w:tcPr>
            <w:tcW w:w="3193"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5019C9E">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绩效指标</w:t>
            </w:r>
          </w:p>
        </w:tc>
        <w:tc>
          <w:tcPr>
            <w:tcW w:w="53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EA364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指标分值</w:t>
            </w:r>
          </w:p>
        </w:tc>
        <w:tc>
          <w:tcPr>
            <w:tcW w:w="63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4C0EF4">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得分</w:t>
            </w:r>
          </w:p>
        </w:tc>
        <w:tc>
          <w:tcPr>
            <w:tcW w:w="633" w:type="pct"/>
            <w:vMerge w:val="restart"/>
            <w:tcBorders>
              <w:top w:val="single" w:color="000000" w:sz="4" w:space="0"/>
              <w:left w:val="single" w:color="000000" w:sz="4" w:space="0"/>
              <w:right w:val="single" w:color="000000" w:sz="4" w:space="0"/>
            </w:tcBorders>
            <w:shd w:val="clear" w:color="auto" w:fill="auto"/>
            <w:vAlign w:val="center"/>
          </w:tcPr>
          <w:p w14:paraId="6347F8B9">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扣分</w:t>
            </w:r>
          </w:p>
        </w:tc>
      </w:tr>
      <w:tr w14:paraId="54E96112">
        <w:tblPrEx>
          <w:tblCellMar>
            <w:top w:w="0" w:type="dxa"/>
            <w:left w:w="108" w:type="dxa"/>
            <w:bottom w:w="0" w:type="dxa"/>
            <w:right w:w="108" w:type="dxa"/>
          </w:tblCellMar>
        </w:tblPrEx>
        <w:trPr>
          <w:trHeight w:val="345" w:hRule="atLeast"/>
        </w:trPr>
        <w:tc>
          <w:tcPr>
            <w:tcW w:w="10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0B1136">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一级指标</w:t>
            </w:r>
          </w:p>
        </w:tc>
        <w:tc>
          <w:tcPr>
            <w:tcW w:w="10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730A11">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二级指标</w:t>
            </w:r>
          </w:p>
        </w:tc>
        <w:tc>
          <w:tcPr>
            <w:tcW w:w="1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06721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三级指标</w:t>
            </w:r>
          </w:p>
        </w:tc>
        <w:tc>
          <w:tcPr>
            <w:tcW w:w="5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D0B269">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63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E0CB4B">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633" w:type="pct"/>
            <w:vMerge w:val="continue"/>
            <w:tcBorders>
              <w:left w:val="single" w:color="000000" w:sz="4" w:space="0"/>
              <w:bottom w:val="single" w:color="000000" w:sz="4" w:space="0"/>
              <w:right w:val="single" w:color="000000" w:sz="4" w:space="0"/>
            </w:tcBorders>
            <w:shd w:val="clear" w:color="auto" w:fill="auto"/>
            <w:vAlign w:val="center"/>
          </w:tcPr>
          <w:p w14:paraId="335C90C4">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r>
      <w:tr w14:paraId="24495356">
        <w:tblPrEx>
          <w:tblCellMar>
            <w:top w:w="0" w:type="dxa"/>
            <w:left w:w="108" w:type="dxa"/>
            <w:bottom w:w="0" w:type="dxa"/>
            <w:right w:w="108" w:type="dxa"/>
          </w:tblCellMar>
        </w:tblPrEx>
        <w:trPr>
          <w:trHeight w:val="507" w:hRule="atLeast"/>
        </w:trPr>
        <w:tc>
          <w:tcPr>
            <w:tcW w:w="10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5F7F46">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部门预算管理</w:t>
            </w:r>
          </w:p>
        </w:tc>
        <w:tc>
          <w:tcPr>
            <w:tcW w:w="106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381360">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预算编制</w:t>
            </w:r>
          </w:p>
        </w:tc>
        <w:tc>
          <w:tcPr>
            <w:tcW w:w="1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9A92B8">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目标制定</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24975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885837">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C61D0A">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0</w:t>
            </w:r>
          </w:p>
        </w:tc>
      </w:tr>
      <w:tr w14:paraId="53AACF28">
        <w:tblPrEx>
          <w:tblCellMar>
            <w:top w:w="0" w:type="dxa"/>
            <w:left w:w="108" w:type="dxa"/>
            <w:bottom w:w="0" w:type="dxa"/>
            <w:right w:w="108" w:type="dxa"/>
          </w:tblCellMar>
        </w:tblPrEx>
        <w:trPr>
          <w:trHeight w:val="458" w:hRule="atLeast"/>
        </w:trPr>
        <w:tc>
          <w:tcPr>
            <w:tcW w:w="10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FB1962">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6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8C65EA">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058464">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目标实现</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A7FE06">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257F66">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8D2235">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z w:val="24"/>
                <w:szCs w:val="24"/>
                <w:u w:val="none"/>
                <w:lang w:val="en-US" w:eastAsia="zh-CN"/>
              </w:rPr>
              <w:t>0</w:t>
            </w:r>
          </w:p>
        </w:tc>
      </w:tr>
      <w:tr w14:paraId="3D2F6ED9">
        <w:tblPrEx>
          <w:tblCellMar>
            <w:top w:w="0" w:type="dxa"/>
            <w:left w:w="108" w:type="dxa"/>
            <w:bottom w:w="0" w:type="dxa"/>
            <w:right w:w="108" w:type="dxa"/>
          </w:tblCellMar>
        </w:tblPrEx>
        <w:trPr>
          <w:trHeight w:val="466" w:hRule="atLeast"/>
        </w:trPr>
        <w:tc>
          <w:tcPr>
            <w:tcW w:w="10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54AF6D">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6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A1A3BE">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D6C730">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编制准确</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131998">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CD80B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6EFBD9">
            <w:pPr>
              <w:pageBreakBefore w:val="0"/>
              <w:wordWrap/>
              <w:overflowPunct/>
              <w:topLinePunct w:val="0"/>
              <w:bidi w:val="0"/>
              <w:spacing w:line="560" w:lineRule="exact"/>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10</w:t>
            </w:r>
          </w:p>
        </w:tc>
      </w:tr>
      <w:tr w14:paraId="278F8E56">
        <w:tblPrEx>
          <w:tblCellMar>
            <w:top w:w="0" w:type="dxa"/>
            <w:left w:w="108" w:type="dxa"/>
            <w:bottom w:w="0" w:type="dxa"/>
            <w:right w:w="108" w:type="dxa"/>
          </w:tblCellMar>
        </w:tblPrEx>
        <w:trPr>
          <w:trHeight w:val="394" w:hRule="atLeast"/>
        </w:trPr>
        <w:tc>
          <w:tcPr>
            <w:tcW w:w="10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0C26F0">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6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D9656A">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预算执行</w:t>
            </w:r>
          </w:p>
        </w:tc>
        <w:tc>
          <w:tcPr>
            <w:tcW w:w="1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71CB06">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支出控制</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B62D5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FD5971">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A57193">
            <w:pPr>
              <w:pageBreakBefore w:val="0"/>
              <w:wordWrap/>
              <w:overflowPunct/>
              <w:topLinePunct w:val="0"/>
              <w:bidi w:val="0"/>
              <w:spacing w:line="560" w:lineRule="exact"/>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0</w:t>
            </w:r>
          </w:p>
        </w:tc>
      </w:tr>
      <w:tr w14:paraId="3EEDD076">
        <w:tblPrEx>
          <w:tblCellMar>
            <w:top w:w="0" w:type="dxa"/>
            <w:left w:w="108" w:type="dxa"/>
            <w:bottom w:w="0" w:type="dxa"/>
            <w:right w:w="108" w:type="dxa"/>
          </w:tblCellMar>
        </w:tblPrEx>
        <w:trPr>
          <w:trHeight w:val="462" w:hRule="atLeast"/>
        </w:trPr>
        <w:tc>
          <w:tcPr>
            <w:tcW w:w="10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5B5C91">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6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D7C4F2">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6686D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动态调整</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B2D4D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8B322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DB47C1">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z w:val="24"/>
                <w:szCs w:val="24"/>
                <w:u w:val="none"/>
                <w:lang w:val="en-US" w:eastAsia="zh-CN"/>
              </w:rPr>
              <w:t>0</w:t>
            </w:r>
          </w:p>
        </w:tc>
      </w:tr>
      <w:tr w14:paraId="70C1ACC4">
        <w:tblPrEx>
          <w:tblCellMar>
            <w:top w:w="0" w:type="dxa"/>
            <w:left w:w="108" w:type="dxa"/>
            <w:bottom w:w="0" w:type="dxa"/>
            <w:right w:w="108" w:type="dxa"/>
          </w:tblCellMar>
        </w:tblPrEx>
        <w:trPr>
          <w:trHeight w:val="445" w:hRule="atLeast"/>
        </w:trPr>
        <w:tc>
          <w:tcPr>
            <w:tcW w:w="10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0E213B">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63" w:type="pct"/>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753166E1">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59" w:type="pct"/>
            <w:tcBorders>
              <w:top w:val="single" w:color="000000" w:sz="4" w:space="0"/>
              <w:left w:val="single" w:color="000000" w:sz="4" w:space="0"/>
              <w:bottom w:val="single" w:color="auto" w:sz="4" w:space="0"/>
              <w:right w:val="single" w:color="000000" w:sz="4" w:space="0"/>
            </w:tcBorders>
            <w:shd w:val="clear" w:color="auto" w:fill="auto"/>
            <w:vAlign w:val="center"/>
          </w:tcPr>
          <w:p w14:paraId="31B5D911">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执行进度</w:t>
            </w:r>
          </w:p>
        </w:tc>
        <w:tc>
          <w:tcPr>
            <w:tcW w:w="539" w:type="pct"/>
            <w:tcBorders>
              <w:top w:val="single" w:color="000000" w:sz="4" w:space="0"/>
              <w:left w:val="single" w:color="000000" w:sz="4" w:space="0"/>
              <w:bottom w:val="single" w:color="auto" w:sz="4" w:space="0"/>
              <w:right w:val="single" w:color="000000" w:sz="4" w:space="0"/>
            </w:tcBorders>
            <w:shd w:val="clear" w:color="auto" w:fill="auto"/>
            <w:vAlign w:val="center"/>
          </w:tcPr>
          <w:p w14:paraId="615FB3C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000000" w:sz="4" w:space="0"/>
              <w:left w:val="single" w:color="000000" w:sz="4" w:space="0"/>
              <w:bottom w:val="single" w:color="auto" w:sz="4" w:space="0"/>
              <w:right w:val="single" w:color="000000" w:sz="4" w:space="0"/>
            </w:tcBorders>
            <w:shd w:val="clear" w:color="auto" w:fill="auto"/>
            <w:vAlign w:val="center"/>
          </w:tcPr>
          <w:p w14:paraId="59064C72">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7.81</w:t>
            </w:r>
          </w:p>
        </w:tc>
        <w:tc>
          <w:tcPr>
            <w:tcW w:w="633" w:type="pct"/>
            <w:tcBorders>
              <w:top w:val="single" w:color="000000" w:sz="4" w:space="0"/>
              <w:left w:val="single" w:color="000000" w:sz="4" w:space="0"/>
              <w:bottom w:val="single" w:color="auto" w:sz="4" w:space="0"/>
              <w:right w:val="single" w:color="000000" w:sz="4" w:space="0"/>
            </w:tcBorders>
            <w:shd w:val="clear" w:color="auto" w:fill="auto"/>
            <w:vAlign w:val="center"/>
          </w:tcPr>
          <w:p w14:paraId="13DB9B2C">
            <w:pPr>
              <w:pageBreakBefore w:val="0"/>
              <w:wordWrap/>
              <w:overflowPunct/>
              <w:topLinePunct w:val="0"/>
              <w:bidi w:val="0"/>
              <w:spacing w:line="560" w:lineRule="exact"/>
              <w:jc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sz w:val="24"/>
                <w:szCs w:val="24"/>
                <w:u w:val="none"/>
                <w:lang w:val="en-US" w:eastAsia="zh-CN"/>
              </w:rPr>
              <w:t>2.19</w:t>
            </w:r>
          </w:p>
        </w:tc>
      </w:tr>
      <w:tr w14:paraId="7877B2B8">
        <w:tblPrEx>
          <w:tblCellMar>
            <w:top w:w="0" w:type="dxa"/>
            <w:left w:w="108" w:type="dxa"/>
            <w:bottom w:w="0" w:type="dxa"/>
            <w:right w:w="108" w:type="dxa"/>
          </w:tblCellMar>
        </w:tblPrEx>
        <w:trPr>
          <w:trHeight w:val="463" w:hRule="atLeast"/>
        </w:trPr>
        <w:tc>
          <w:tcPr>
            <w:tcW w:w="107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41560831">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6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44DFA60">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完成结果</w:t>
            </w:r>
          </w:p>
        </w:tc>
        <w:tc>
          <w:tcPr>
            <w:tcW w:w="1059" w:type="pct"/>
            <w:tcBorders>
              <w:top w:val="single" w:color="auto" w:sz="4" w:space="0"/>
              <w:left w:val="single" w:color="auto" w:sz="4" w:space="0"/>
              <w:bottom w:val="single" w:color="auto" w:sz="4" w:space="0"/>
              <w:right w:val="single" w:color="auto" w:sz="4" w:space="0"/>
            </w:tcBorders>
            <w:shd w:val="clear" w:color="auto" w:fill="auto"/>
            <w:vAlign w:val="center"/>
          </w:tcPr>
          <w:p w14:paraId="67E7260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预算完成</w:t>
            </w:r>
          </w:p>
        </w:tc>
        <w:tc>
          <w:tcPr>
            <w:tcW w:w="539" w:type="pct"/>
            <w:tcBorders>
              <w:top w:val="single" w:color="auto" w:sz="4" w:space="0"/>
              <w:left w:val="single" w:color="auto" w:sz="4" w:space="0"/>
              <w:bottom w:val="single" w:color="auto" w:sz="4" w:space="0"/>
              <w:right w:val="single" w:color="auto" w:sz="4" w:space="0"/>
            </w:tcBorders>
            <w:shd w:val="clear" w:color="auto" w:fill="auto"/>
            <w:vAlign w:val="center"/>
          </w:tcPr>
          <w:p w14:paraId="4C268E0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2A663A68">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6DFC9250">
            <w:pPr>
              <w:pageBreakBefore w:val="0"/>
              <w:wordWrap/>
              <w:overflowPunct/>
              <w:topLinePunct w:val="0"/>
              <w:bidi w:val="0"/>
              <w:spacing w:line="560" w:lineRule="exact"/>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0</w:t>
            </w:r>
          </w:p>
        </w:tc>
      </w:tr>
      <w:tr w14:paraId="56D08211">
        <w:tblPrEx>
          <w:tblCellMar>
            <w:top w:w="0" w:type="dxa"/>
            <w:left w:w="108" w:type="dxa"/>
            <w:bottom w:w="0" w:type="dxa"/>
            <w:right w:w="108" w:type="dxa"/>
          </w:tblCellMar>
        </w:tblPrEx>
        <w:trPr>
          <w:trHeight w:val="453" w:hRule="atLeast"/>
        </w:trPr>
        <w:tc>
          <w:tcPr>
            <w:tcW w:w="107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06FD91FE">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6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6FD40E4">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59" w:type="pct"/>
            <w:tcBorders>
              <w:top w:val="single" w:color="auto" w:sz="4" w:space="0"/>
              <w:left w:val="single" w:color="auto" w:sz="4" w:space="0"/>
              <w:bottom w:val="single" w:color="auto" w:sz="4" w:space="0"/>
              <w:right w:val="single" w:color="auto" w:sz="4" w:space="0"/>
            </w:tcBorders>
            <w:shd w:val="clear" w:color="auto" w:fill="auto"/>
            <w:vAlign w:val="center"/>
          </w:tcPr>
          <w:p w14:paraId="6F0619F7">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违规记录</w:t>
            </w:r>
          </w:p>
        </w:tc>
        <w:tc>
          <w:tcPr>
            <w:tcW w:w="539" w:type="pct"/>
            <w:tcBorders>
              <w:top w:val="single" w:color="auto" w:sz="4" w:space="0"/>
              <w:left w:val="single" w:color="auto" w:sz="4" w:space="0"/>
              <w:bottom w:val="single" w:color="auto" w:sz="4" w:space="0"/>
              <w:right w:val="single" w:color="auto" w:sz="4" w:space="0"/>
            </w:tcBorders>
            <w:shd w:val="clear" w:color="auto" w:fill="auto"/>
            <w:vAlign w:val="center"/>
          </w:tcPr>
          <w:p w14:paraId="20C2EA74">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201BAC4E">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1393DFB4">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z w:val="24"/>
                <w:szCs w:val="24"/>
                <w:u w:val="none"/>
                <w:lang w:val="en-US" w:eastAsia="zh-CN"/>
              </w:rPr>
              <w:t>0</w:t>
            </w:r>
          </w:p>
        </w:tc>
      </w:tr>
      <w:tr w14:paraId="09105AE3">
        <w:tblPrEx>
          <w:tblCellMar>
            <w:top w:w="0" w:type="dxa"/>
            <w:left w:w="108" w:type="dxa"/>
            <w:bottom w:w="0" w:type="dxa"/>
            <w:right w:w="108" w:type="dxa"/>
          </w:tblCellMar>
        </w:tblPrEx>
        <w:trPr>
          <w:trHeight w:val="444" w:hRule="atLeast"/>
        </w:trPr>
        <w:tc>
          <w:tcPr>
            <w:tcW w:w="1071" w:type="pct"/>
            <w:vMerge w:val="restart"/>
            <w:tcBorders>
              <w:top w:val="single" w:color="000000" w:sz="4" w:space="0"/>
              <w:left w:val="single" w:color="000000" w:sz="4" w:space="0"/>
              <w:bottom w:val="single" w:color="000000" w:sz="4" w:space="0"/>
              <w:right w:val="single" w:color="auto" w:sz="4" w:space="0"/>
            </w:tcBorders>
            <w:shd w:val="clear" w:color="auto" w:fill="auto"/>
            <w:vAlign w:val="center"/>
          </w:tcPr>
          <w:p w14:paraId="3582BA2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绩效结果应用</w:t>
            </w:r>
          </w:p>
        </w:tc>
        <w:tc>
          <w:tcPr>
            <w:tcW w:w="1063" w:type="pct"/>
            <w:tcBorders>
              <w:top w:val="single" w:color="auto" w:sz="4" w:space="0"/>
              <w:left w:val="single" w:color="auto" w:sz="4" w:space="0"/>
              <w:bottom w:val="single" w:color="auto" w:sz="4" w:space="0"/>
              <w:right w:val="single" w:color="auto" w:sz="4" w:space="0"/>
            </w:tcBorders>
            <w:shd w:val="clear" w:color="auto" w:fill="auto"/>
            <w:vAlign w:val="center"/>
          </w:tcPr>
          <w:p w14:paraId="4C26D67A">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信息公开</w:t>
            </w:r>
          </w:p>
        </w:tc>
        <w:tc>
          <w:tcPr>
            <w:tcW w:w="1059" w:type="pct"/>
            <w:tcBorders>
              <w:top w:val="single" w:color="auto" w:sz="4" w:space="0"/>
              <w:left w:val="single" w:color="auto" w:sz="4" w:space="0"/>
              <w:bottom w:val="single" w:color="auto" w:sz="4" w:space="0"/>
              <w:right w:val="single" w:color="auto" w:sz="4" w:space="0"/>
            </w:tcBorders>
            <w:shd w:val="clear" w:color="auto" w:fill="auto"/>
            <w:vAlign w:val="center"/>
          </w:tcPr>
          <w:p w14:paraId="229AE1E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自评公开</w:t>
            </w:r>
          </w:p>
        </w:tc>
        <w:tc>
          <w:tcPr>
            <w:tcW w:w="539" w:type="pct"/>
            <w:tcBorders>
              <w:top w:val="single" w:color="auto" w:sz="4" w:space="0"/>
              <w:left w:val="single" w:color="auto" w:sz="4" w:space="0"/>
              <w:bottom w:val="single" w:color="auto" w:sz="4" w:space="0"/>
              <w:right w:val="single" w:color="auto" w:sz="4" w:space="0"/>
            </w:tcBorders>
            <w:shd w:val="clear" w:color="auto" w:fill="auto"/>
            <w:vAlign w:val="center"/>
          </w:tcPr>
          <w:p w14:paraId="26787775">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704FBFA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766D2982">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z w:val="24"/>
                <w:szCs w:val="24"/>
                <w:u w:val="none"/>
                <w:lang w:val="en-US" w:eastAsia="zh-CN"/>
              </w:rPr>
              <w:t>0</w:t>
            </w:r>
          </w:p>
        </w:tc>
      </w:tr>
      <w:tr w14:paraId="4FCC3022">
        <w:tblPrEx>
          <w:tblCellMar>
            <w:top w:w="0" w:type="dxa"/>
            <w:left w:w="108" w:type="dxa"/>
            <w:bottom w:w="0" w:type="dxa"/>
            <w:right w:w="108" w:type="dxa"/>
          </w:tblCellMar>
        </w:tblPrEx>
        <w:trPr>
          <w:trHeight w:val="451" w:hRule="atLeast"/>
        </w:trPr>
        <w:tc>
          <w:tcPr>
            <w:tcW w:w="107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106EB5D3">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6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945E5D8">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整改反馈</w:t>
            </w:r>
          </w:p>
        </w:tc>
        <w:tc>
          <w:tcPr>
            <w:tcW w:w="1059" w:type="pct"/>
            <w:tcBorders>
              <w:top w:val="single" w:color="auto" w:sz="4" w:space="0"/>
              <w:left w:val="single" w:color="auto" w:sz="4" w:space="0"/>
              <w:bottom w:val="single" w:color="auto" w:sz="4" w:space="0"/>
              <w:right w:val="single" w:color="auto" w:sz="4" w:space="0"/>
            </w:tcBorders>
            <w:shd w:val="clear" w:color="auto" w:fill="auto"/>
            <w:vAlign w:val="center"/>
          </w:tcPr>
          <w:p w14:paraId="732074E5">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结果整改</w:t>
            </w:r>
          </w:p>
        </w:tc>
        <w:tc>
          <w:tcPr>
            <w:tcW w:w="539" w:type="pct"/>
            <w:tcBorders>
              <w:top w:val="single" w:color="auto" w:sz="4" w:space="0"/>
              <w:left w:val="single" w:color="auto" w:sz="4" w:space="0"/>
              <w:bottom w:val="single" w:color="auto" w:sz="4" w:space="0"/>
              <w:right w:val="single" w:color="auto" w:sz="4" w:space="0"/>
            </w:tcBorders>
            <w:shd w:val="clear" w:color="auto" w:fill="auto"/>
            <w:vAlign w:val="center"/>
          </w:tcPr>
          <w:p w14:paraId="31CFD34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6776576B">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5537E38E">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z w:val="24"/>
                <w:szCs w:val="24"/>
                <w:u w:val="none"/>
                <w:lang w:val="en-US" w:eastAsia="zh-CN"/>
              </w:rPr>
              <w:t>0</w:t>
            </w:r>
          </w:p>
        </w:tc>
      </w:tr>
      <w:tr w14:paraId="1E952C66">
        <w:tblPrEx>
          <w:tblCellMar>
            <w:top w:w="0" w:type="dxa"/>
            <w:left w:w="108" w:type="dxa"/>
            <w:bottom w:w="0" w:type="dxa"/>
            <w:right w:w="108" w:type="dxa"/>
          </w:tblCellMar>
        </w:tblPrEx>
        <w:trPr>
          <w:trHeight w:val="414" w:hRule="atLeast"/>
        </w:trPr>
        <w:tc>
          <w:tcPr>
            <w:tcW w:w="107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65A15AC5">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6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A7AF48B">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1059" w:type="pct"/>
            <w:tcBorders>
              <w:top w:val="single" w:color="auto" w:sz="4" w:space="0"/>
              <w:left w:val="single" w:color="auto" w:sz="4" w:space="0"/>
              <w:bottom w:val="single" w:color="auto" w:sz="4" w:space="0"/>
              <w:right w:val="single" w:color="auto" w:sz="4" w:space="0"/>
            </w:tcBorders>
            <w:shd w:val="clear" w:color="auto" w:fill="auto"/>
            <w:vAlign w:val="center"/>
          </w:tcPr>
          <w:p w14:paraId="25358E7A">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应用反馈</w:t>
            </w:r>
          </w:p>
        </w:tc>
        <w:tc>
          <w:tcPr>
            <w:tcW w:w="539" w:type="pct"/>
            <w:tcBorders>
              <w:top w:val="single" w:color="auto" w:sz="4" w:space="0"/>
              <w:left w:val="single" w:color="auto" w:sz="4" w:space="0"/>
              <w:bottom w:val="single" w:color="auto" w:sz="4" w:space="0"/>
              <w:right w:val="single" w:color="auto" w:sz="4" w:space="0"/>
            </w:tcBorders>
            <w:shd w:val="clear" w:color="auto" w:fill="auto"/>
            <w:vAlign w:val="center"/>
          </w:tcPr>
          <w:p w14:paraId="62B1A901">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1ADE501B">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280F20BF">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z w:val="24"/>
                <w:szCs w:val="24"/>
                <w:u w:val="none"/>
                <w:lang w:val="en-US" w:eastAsia="zh-CN"/>
              </w:rPr>
              <w:t>0</w:t>
            </w:r>
          </w:p>
        </w:tc>
      </w:tr>
      <w:tr w14:paraId="5C6418A8">
        <w:tblPrEx>
          <w:tblCellMar>
            <w:top w:w="0" w:type="dxa"/>
            <w:left w:w="108" w:type="dxa"/>
            <w:bottom w:w="0" w:type="dxa"/>
            <w:right w:w="108" w:type="dxa"/>
          </w:tblCellMar>
        </w:tblPrEx>
        <w:trPr>
          <w:trHeight w:val="510" w:hRule="atLeast"/>
        </w:trPr>
        <w:tc>
          <w:tcPr>
            <w:tcW w:w="1071" w:type="pct"/>
            <w:tcBorders>
              <w:top w:val="single" w:color="000000" w:sz="4" w:space="0"/>
              <w:left w:val="single" w:color="000000" w:sz="4" w:space="0"/>
              <w:bottom w:val="single" w:color="000000" w:sz="4" w:space="0"/>
              <w:right w:val="single" w:color="auto" w:sz="4" w:space="0"/>
            </w:tcBorders>
            <w:shd w:val="clear" w:color="auto" w:fill="auto"/>
            <w:vAlign w:val="center"/>
          </w:tcPr>
          <w:p w14:paraId="4CBC32B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自评质量</w:t>
            </w:r>
          </w:p>
        </w:tc>
        <w:tc>
          <w:tcPr>
            <w:tcW w:w="1063" w:type="pct"/>
            <w:tcBorders>
              <w:top w:val="single" w:color="auto" w:sz="4" w:space="0"/>
              <w:left w:val="single" w:color="auto" w:sz="4" w:space="0"/>
              <w:bottom w:val="single" w:color="auto" w:sz="4" w:space="0"/>
              <w:right w:val="single" w:color="auto" w:sz="4" w:space="0"/>
            </w:tcBorders>
            <w:shd w:val="clear" w:color="auto" w:fill="auto"/>
            <w:vAlign w:val="center"/>
          </w:tcPr>
          <w:p w14:paraId="6C8FC0CB">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自评质量</w:t>
            </w:r>
          </w:p>
        </w:tc>
        <w:tc>
          <w:tcPr>
            <w:tcW w:w="1059" w:type="pct"/>
            <w:tcBorders>
              <w:top w:val="single" w:color="auto" w:sz="4" w:space="0"/>
              <w:left w:val="single" w:color="auto" w:sz="4" w:space="0"/>
              <w:bottom w:val="single" w:color="auto" w:sz="4" w:space="0"/>
              <w:right w:val="single" w:color="auto" w:sz="4" w:space="0"/>
            </w:tcBorders>
            <w:shd w:val="clear" w:color="auto" w:fill="auto"/>
            <w:vAlign w:val="center"/>
          </w:tcPr>
          <w:p w14:paraId="4C18B5A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自评准确</w:t>
            </w:r>
          </w:p>
        </w:tc>
        <w:tc>
          <w:tcPr>
            <w:tcW w:w="539" w:type="pct"/>
            <w:tcBorders>
              <w:top w:val="single" w:color="auto" w:sz="4" w:space="0"/>
              <w:left w:val="single" w:color="auto" w:sz="4" w:space="0"/>
              <w:bottom w:val="single" w:color="auto" w:sz="4" w:space="0"/>
              <w:right w:val="single" w:color="auto" w:sz="4" w:space="0"/>
            </w:tcBorders>
            <w:shd w:val="clear" w:color="auto" w:fill="auto"/>
            <w:vAlign w:val="center"/>
          </w:tcPr>
          <w:p w14:paraId="45D3213B">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1C5DC987">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291A7ECC">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8</w:t>
            </w:r>
          </w:p>
        </w:tc>
      </w:tr>
      <w:tr w14:paraId="0CF4261B">
        <w:tblPrEx>
          <w:tblCellMar>
            <w:top w:w="0" w:type="dxa"/>
            <w:left w:w="108" w:type="dxa"/>
            <w:bottom w:w="0" w:type="dxa"/>
            <w:right w:w="108" w:type="dxa"/>
          </w:tblCellMar>
        </w:tblPrEx>
        <w:trPr>
          <w:trHeight w:val="510" w:hRule="atLeast"/>
        </w:trPr>
        <w:tc>
          <w:tcPr>
            <w:tcW w:w="3193"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33DA07A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合计</w:t>
            </w:r>
          </w:p>
        </w:tc>
        <w:tc>
          <w:tcPr>
            <w:tcW w:w="539" w:type="pct"/>
            <w:tcBorders>
              <w:top w:val="single" w:color="auto" w:sz="4" w:space="0"/>
              <w:left w:val="single" w:color="auto" w:sz="4" w:space="0"/>
              <w:bottom w:val="single" w:color="auto" w:sz="4" w:space="0"/>
              <w:right w:val="single" w:color="auto" w:sz="4" w:space="0"/>
            </w:tcBorders>
            <w:shd w:val="clear" w:color="auto" w:fill="auto"/>
            <w:vAlign w:val="center"/>
          </w:tcPr>
          <w:p w14:paraId="7ABC8535">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100</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2C782FD1">
            <w:pPr>
              <w:pageBreakBefore w:val="0"/>
              <w:wordWrap/>
              <w:overflowPunct/>
              <w:topLinePunct w:val="0"/>
              <w:bidi w:val="0"/>
              <w:spacing w:line="560" w:lineRule="exact"/>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79.81</w:t>
            </w:r>
          </w:p>
        </w:tc>
        <w:tc>
          <w:tcPr>
            <w:tcW w:w="633" w:type="pct"/>
            <w:tcBorders>
              <w:top w:val="single" w:color="auto" w:sz="4" w:space="0"/>
              <w:left w:val="single" w:color="auto" w:sz="4" w:space="0"/>
              <w:bottom w:val="single" w:color="auto" w:sz="4" w:space="0"/>
              <w:right w:val="single" w:color="auto" w:sz="4" w:space="0"/>
            </w:tcBorders>
            <w:shd w:val="clear" w:color="auto" w:fill="auto"/>
            <w:vAlign w:val="center"/>
          </w:tcPr>
          <w:p w14:paraId="6771E480">
            <w:pPr>
              <w:pageBreakBefore w:val="0"/>
              <w:wordWrap/>
              <w:overflowPunct/>
              <w:topLinePunct w:val="0"/>
              <w:bidi w:val="0"/>
              <w:spacing w:line="560" w:lineRule="exact"/>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20.19</w:t>
            </w:r>
          </w:p>
        </w:tc>
      </w:tr>
    </w:tbl>
    <w:p w14:paraId="5AE543FA">
      <w:pPr>
        <w:pStyle w:val="5"/>
        <w:pageBreakBefore w:val="0"/>
        <w:numPr>
          <w:ilvl w:val="1"/>
          <w:numId w:val="0"/>
        </w:numPr>
        <w:kinsoku/>
        <w:wordWrap/>
        <w:overflowPunct/>
        <w:topLinePunct w:val="0"/>
        <w:autoSpaceDE/>
        <w:autoSpaceDN/>
        <w:bidi w:val="0"/>
        <w:spacing w:line="560" w:lineRule="exact"/>
        <w:ind w:leftChars="0" w:firstLine="643" w:firstLineChars="200"/>
        <w:rPr>
          <w:rFonts w:hint="eastAsia"/>
          <w:b/>
          <w:bCs/>
          <w:color w:val="auto"/>
          <w:szCs w:val="32"/>
          <w:lang w:val="en-US" w:eastAsia="zh-CN"/>
        </w:rPr>
      </w:pPr>
      <w:r>
        <w:rPr>
          <w:rFonts w:hint="eastAsia"/>
          <w:b/>
          <w:bCs/>
          <w:color w:val="auto"/>
          <w:szCs w:val="32"/>
          <w:lang w:val="en-US" w:eastAsia="zh-CN"/>
        </w:rPr>
        <w:t>（二）基本运行绩效分析</w:t>
      </w:r>
    </w:p>
    <w:p w14:paraId="6BB41A5F">
      <w:pPr>
        <w:pStyle w:val="4"/>
        <w:pageBreakBefore w:val="0"/>
        <w:widowControl w:val="0"/>
        <w:numPr>
          <w:ilvl w:val="-1"/>
          <w:numId w:val="0"/>
        </w:numPr>
        <w:kinsoku/>
        <w:wordWrap/>
        <w:overflowPunct/>
        <w:topLinePunct w:val="0"/>
        <w:autoSpaceDE/>
        <w:autoSpaceDN/>
        <w:bidi w:val="0"/>
        <w:spacing w:line="560" w:lineRule="exact"/>
        <w:ind w:left="0" w:leftChars="0" w:firstLine="643" w:firstLineChars="200"/>
        <w:textAlignment w:val="auto"/>
        <w:outlineLvl w:val="2"/>
        <w:rPr>
          <w:rFonts w:hint="eastAsia"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1.部门预算编制</w:t>
      </w:r>
    </w:p>
    <w:p w14:paraId="046171FD">
      <w:pPr>
        <w:pStyle w:val="4"/>
        <w:pageBreakBefore w:val="0"/>
        <w:widowControl w:val="0"/>
        <w:numPr>
          <w:ilvl w:val="-1"/>
          <w:numId w:val="0"/>
        </w:numPr>
        <w:kinsoku/>
        <w:wordWrap/>
        <w:overflowPunct/>
        <w:topLinePunct w:val="0"/>
        <w:autoSpaceDE/>
        <w:autoSpaceDN/>
        <w:bidi w:val="0"/>
        <w:spacing w:line="560" w:lineRule="exact"/>
        <w:ind w:left="0" w:leftChars="0" w:firstLine="643" w:firstLineChars="200"/>
        <w:textAlignment w:val="auto"/>
        <w:outlineLvl w:val="2"/>
        <w:rPr>
          <w:rFonts w:hint="default"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（1）预算编制</w:t>
      </w:r>
    </w:p>
    <w:p w14:paraId="5BA9292F">
      <w:pPr>
        <w:pStyle w:val="4"/>
        <w:pageBreakBefore w:val="0"/>
        <w:widowControl w:val="0"/>
        <w:numPr>
          <w:ilvl w:val="0"/>
          <w:numId w:val="0"/>
        </w:numPr>
        <w:kinsoku/>
        <w:wordWrap/>
        <w:overflowPunct/>
        <w:topLinePunct w:val="0"/>
        <w:autoSpaceDE/>
        <w:autoSpaceDN/>
        <w:bidi w:val="0"/>
        <w:spacing w:line="560" w:lineRule="exact"/>
        <w:ind w:firstLine="643" w:firstLineChars="200"/>
        <w:textAlignment w:val="auto"/>
        <w:outlineLvl w:val="9"/>
        <w:rPr>
          <w:rFonts w:hint="default"/>
          <w:color w:val="auto"/>
          <w:lang w:val="en-US" w:eastAsia="zh-CN"/>
        </w:rPr>
      </w:pPr>
      <w:r>
        <w:rPr>
          <w:rFonts w:hint="eastAsia"/>
          <w:b/>
          <w:bCs/>
          <w:color w:val="auto"/>
          <w:szCs w:val="32"/>
          <w:lang w:val="en-US" w:eastAsia="zh-CN"/>
        </w:rPr>
        <w:t>①目标制定</w:t>
      </w:r>
    </w:p>
    <w:p w14:paraId="48BC13FB">
      <w:pPr>
        <w:pStyle w:val="4"/>
        <w:pageBreakBefore w:val="0"/>
        <w:wordWrap/>
        <w:overflowPunct/>
        <w:topLinePunct w:val="0"/>
        <w:bidi w:val="0"/>
        <w:spacing w:line="560" w:lineRule="exact"/>
        <w:rPr>
          <w:rFonts w:hint="eastAsia"/>
          <w:color w:val="000000" w:themeColor="text1"/>
          <w:highlight w:val="none"/>
          <w:lang w:val="en-US"/>
          <w14:textFill>
            <w14:solidFill>
              <w14:schemeClr w14:val="tx1"/>
            </w14:solidFill>
          </w14:textFill>
        </w:rPr>
      </w:pPr>
      <w:r>
        <w:rPr>
          <w:rFonts w:hint="eastAsia"/>
          <w:highlight w:val="none"/>
          <w:lang w:val="en-US" w:eastAsia="zh-CN"/>
        </w:rPr>
        <w:t>房征中心</w:t>
      </w:r>
      <w:r>
        <w:rPr>
          <w:rFonts w:hint="eastAsia"/>
          <w:highlight w:val="none"/>
        </w:rPr>
        <w:t>整体绩效目标年度主要任务包括</w:t>
      </w:r>
      <w:r>
        <w:rPr>
          <w:rFonts w:hint="eastAsia"/>
          <w:color w:val="000000" w:themeColor="text1"/>
          <w:highlight w:val="none"/>
          <w:lang w:eastAsia="zh-CN"/>
          <w14:textFill>
            <w14:solidFill>
              <w14:schemeClr w14:val="tx1"/>
            </w14:solidFill>
          </w14:textFill>
        </w:rPr>
        <w:t>信访维稳工作费用、驻京驻蓉信访工作费用</w:t>
      </w:r>
      <w:r>
        <w:rPr>
          <w:rFonts w:hint="eastAsia"/>
          <w:color w:val="000000" w:themeColor="text1"/>
          <w:highlight w:val="none"/>
          <w:lang w:eastAsia="zh-CN"/>
          <w14:textFill>
            <w14:solidFill>
              <w14:schemeClr w14:val="tx1"/>
            </w14:solidFill>
          </w14:textFill>
        </w:rPr>
        <w:tab/>
      </w:r>
      <w:r>
        <w:rPr>
          <w:rFonts w:hint="eastAsia"/>
          <w:color w:val="000000" w:themeColor="text1"/>
          <w:highlight w:val="none"/>
          <w:lang w:eastAsia="zh-CN"/>
          <w14:textFill>
            <w14:solidFill>
              <w14:schemeClr w14:val="tx1"/>
            </w14:solidFill>
          </w14:textFill>
        </w:rPr>
        <w:t>、矛盾多元化解工作费用、临时救助工作经费（春节慰问）、基本支出</w:t>
      </w:r>
      <w:r>
        <w:rPr>
          <w:rFonts w:hint="eastAsia"/>
          <w:color w:val="000000" w:themeColor="text1"/>
          <w:highlight w:val="none"/>
          <w:lang w:eastAsia="zh-CN"/>
          <w14:textFill>
            <w14:solidFill>
              <w14:schemeClr w14:val="tx1"/>
            </w14:solidFill>
          </w14:textFill>
        </w:rPr>
        <w:tab/>
      </w:r>
      <w:r>
        <w:rPr>
          <w:rFonts w:hint="eastAsia"/>
          <w:color w:val="000000" w:themeColor="text1"/>
          <w:highlight w:val="none"/>
          <w:lang w:eastAsia="zh-CN"/>
          <w14:textFill>
            <w14:solidFill>
              <w14:schemeClr w14:val="tx1"/>
            </w14:solidFill>
          </w14:textFill>
        </w:rPr>
        <w:t>、信访事务经（信访维稳工资经费）</w:t>
      </w:r>
      <w:r>
        <w:rPr>
          <w:rFonts w:hint="eastAsia"/>
          <w:color w:val="000000" w:themeColor="text1"/>
          <w:highlight w:val="none"/>
          <w:lang w:val="en-US" w:eastAsia="zh-CN"/>
          <w14:textFill>
            <w14:solidFill>
              <w14:schemeClr w14:val="tx1"/>
            </w14:solidFill>
          </w14:textFill>
        </w:rPr>
        <w:t>及</w:t>
      </w:r>
      <w:r>
        <w:rPr>
          <w:rFonts w:hint="eastAsia"/>
          <w:color w:val="000000" w:themeColor="text1"/>
          <w:highlight w:val="none"/>
          <w:lang w:eastAsia="zh-CN"/>
          <w14:textFill>
            <w14:solidFill>
              <w14:schemeClr w14:val="tx1"/>
            </w14:solidFill>
          </w14:textFill>
        </w:rPr>
        <w:t>信访事务经费（劳务费）</w:t>
      </w:r>
      <w:r>
        <w:rPr>
          <w:rFonts w:hint="eastAsia"/>
          <w:color w:val="000000" w:themeColor="text1"/>
          <w:highlight w:val="none"/>
          <w:lang w:eastAsia="zh-CN"/>
          <w14:textFill>
            <w14:solidFill>
              <w14:schemeClr w14:val="tx1"/>
            </w14:solidFill>
          </w14:textFill>
        </w:rPr>
        <w:tab/>
      </w:r>
      <w:r>
        <w:rPr>
          <w:rFonts w:hint="eastAsia"/>
          <w:highlight w:val="none"/>
          <w:lang w:val="en-US" w:eastAsia="zh-CN"/>
        </w:rPr>
        <w:t>7</w:t>
      </w:r>
      <w:r>
        <w:rPr>
          <w:rFonts w:hint="eastAsia"/>
          <w:highlight w:val="none"/>
          <w:lang w:val="en-US"/>
        </w:rPr>
        <w:t>项</w:t>
      </w:r>
      <w:r>
        <w:rPr>
          <w:rFonts w:hint="eastAsia"/>
          <w:highlight w:val="none"/>
          <w:lang w:val="en-US" w:eastAsia="zh-CN"/>
        </w:rPr>
        <w:t>工作费用的合理安排和支出</w:t>
      </w:r>
      <w:r>
        <w:rPr>
          <w:rFonts w:hint="eastAsia"/>
          <w:highlight w:val="none"/>
          <w:lang w:eastAsia="zh-CN"/>
        </w:rPr>
        <w:t>，</w:t>
      </w:r>
      <w:r>
        <w:rPr>
          <w:rFonts w:hint="eastAsia"/>
          <w:highlight w:val="none"/>
          <w:lang w:val="en-US" w:eastAsia="zh-CN"/>
        </w:rPr>
        <w:t>整体</w:t>
      </w:r>
      <w:r>
        <w:rPr>
          <w:rFonts w:hint="eastAsia"/>
          <w:color w:val="000000" w:themeColor="text1"/>
          <w:highlight w:val="none"/>
          <w:lang w:val="en-US"/>
          <w14:textFill>
            <w14:solidFill>
              <w14:schemeClr w14:val="tx1"/>
            </w14:solidFill>
          </w14:textFill>
        </w:rPr>
        <w:t>绩效目标编制含数量、质量、成本、时效、效益、满意度等指标，要素完整，指标设置符合规范要求。</w:t>
      </w:r>
    </w:p>
    <w:p w14:paraId="41F14C3C">
      <w:pPr>
        <w:pStyle w:val="4"/>
        <w:pageBreakBefore w:val="0"/>
        <w:wordWrap/>
        <w:overflowPunct/>
        <w:topLinePunct w:val="0"/>
        <w:bidi w:val="0"/>
        <w:spacing w:line="560" w:lineRule="exact"/>
        <w:rPr>
          <w:rFonts w:hint="eastAsia"/>
          <w:color w:val="000000" w:themeColor="text1"/>
          <w:highlight w:val="none"/>
          <w:lang w:val="en-US"/>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综合上述分析，此项指标分值10分，实际得分10分。</w:t>
      </w:r>
    </w:p>
    <w:p w14:paraId="0FC00060">
      <w:pPr>
        <w:pStyle w:val="4"/>
        <w:pageBreakBefore w:val="0"/>
        <w:widowControl w:val="0"/>
        <w:numPr>
          <w:ilvl w:val="0"/>
          <w:numId w:val="0"/>
        </w:numPr>
        <w:kinsoku/>
        <w:wordWrap/>
        <w:overflowPunct/>
        <w:topLinePunct w:val="0"/>
        <w:autoSpaceDE/>
        <w:autoSpaceDN/>
        <w:bidi w:val="0"/>
        <w:spacing w:line="560" w:lineRule="exact"/>
        <w:ind w:firstLine="643" w:firstLineChars="200"/>
        <w:textAlignment w:val="auto"/>
        <w:outlineLvl w:val="9"/>
        <w:rPr>
          <w:rFonts w:hint="default"/>
          <w:color w:val="auto"/>
          <w:lang w:val="en-US" w:eastAsia="zh-CN"/>
        </w:rPr>
      </w:pPr>
      <w:r>
        <w:rPr>
          <w:rFonts w:hint="eastAsia"/>
          <w:b/>
          <w:bCs/>
          <w:color w:val="auto"/>
          <w:szCs w:val="32"/>
          <w:lang w:val="en-US" w:eastAsia="zh-CN"/>
        </w:rPr>
        <w:t>②目标实现</w:t>
      </w:r>
    </w:p>
    <w:p w14:paraId="6D125D02">
      <w:pPr>
        <w:pStyle w:val="4"/>
        <w:pageBreakBefore w:val="0"/>
        <w:wordWrap/>
        <w:overflowPunct/>
        <w:topLinePunct w:val="0"/>
        <w:bidi w:val="0"/>
        <w:spacing w:line="560" w:lineRule="exact"/>
        <w:rPr>
          <w:rFonts w:hint="eastAsia"/>
          <w:color w:val="000000" w:themeColor="text1"/>
          <w:highlight w:val="none"/>
          <w:lang w:val="en-US"/>
          <w14:textFill>
            <w14:solidFill>
              <w14:schemeClr w14:val="tx1"/>
            </w14:solidFill>
          </w14:textFill>
        </w:rPr>
      </w:pPr>
      <w:r>
        <w:rPr>
          <w:rFonts w:hint="eastAsia"/>
          <w:color w:val="000000" w:themeColor="text1"/>
          <w:highlight w:val="none"/>
          <w:lang w:val="en-US"/>
          <w14:textFill>
            <w14:solidFill>
              <w14:schemeClr w14:val="tx1"/>
            </w14:solidFill>
          </w14:textFill>
        </w:rPr>
        <w:t>评价组核查了</w:t>
      </w:r>
      <w:r>
        <w:rPr>
          <w:rFonts w:hint="eastAsia"/>
          <w:color w:val="000000" w:themeColor="text1"/>
          <w:highlight w:val="none"/>
          <w:lang w:val="en-US" w:eastAsia="zh-CN"/>
          <w14:textFill>
            <w14:solidFill>
              <w14:schemeClr w14:val="tx1"/>
            </w14:solidFill>
          </w14:textFill>
        </w:rPr>
        <w:t>7</w:t>
      </w:r>
      <w:r>
        <w:rPr>
          <w:rFonts w:hint="eastAsia"/>
          <w:color w:val="000000" w:themeColor="text1"/>
          <w:highlight w:val="none"/>
          <w:lang w:val="en-US"/>
          <w14:textFill>
            <w14:solidFill>
              <w14:schemeClr w14:val="tx1"/>
            </w14:solidFill>
          </w14:textFill>
        </w:rPr>
        <w:t>个项目共</w:t>
      </w:r>
      <w:r>
        <w:rPr>
          <w:rFonts w:hint="eastAsia"/>
          <w:color w:val="000000" w:themeColor="text1"/>
          <w:highlight w:val="none"/>
          <w:lang w:val="en-US" w:eastAsia="zh-CN"/>
          <w14:textFill>
            <w14:solidFill>
              <w14:schemeClr w14:val="tx1"/>
            </w14:solidFill>
          </w14:textFill>
        </w:rPr>
        <w:t>14</w:t>
      </w:r>
      <w:r>
        <w:rPr>
          <w:rFonts w:hint="eastAsia"/>
          <w:color w:val="000000" w:themeColor="text1"/>
          <w:highlight w:val="none"/>
          <w:lang w:val="en-US"/>
          <w14:textFill>
            <w14:solidFill>
              <w14:schemeClr w14:val="tx1"/>
            </w14:solidFill>
          </w14:textFill>
        </w:rPr>
        <w:t>个数量指标的完成情况，</w:t>
      </w:r>
      <w:r>
        <w:rPr>
          <w:rFonts w:hint="eastAsia"/>
          <w:color w:val="000000" w:themeColor="text1"/>
          <w:highlight w:val="none"/>
          <w:lang w:val="en-US" w:eastAsia="zh-CN"/>
          <w14:textFill>
            <w14:solidFill>
              <w14:schemeClr w14:val="tx1"/>
            </w14:solidFill>
          </w14:textFill>
        </w:rPr>
        <w:t>完成了7项工作任务包含的纠纷矛盾化解、培训、重大活动临时聘请保安维稳等，14</w:t>
      </w:r>
      <w:r>
        <w:rPr>
          <w:rFonts w:hint="eastAsia"/>
          <w:color w:val="000000" w:themeColor="text1"/>
          <w:highlight w:val="none"/>
          <w:lang w:val="en-US"/>
          <w14:textFill>
            <w14:solidFill>
              <w14:schemeClr w14:val="tx1"/>
            </w14:solidFill>
          </w14:textFill>
        </w:rPr>
        <w:t>个数量指标实际完成数量情况达到预期目标。</w:t>
      </w:r>
    </w:p>
    <w:p w14:paraId="0CCE1EC5">
      <w:pPr>
        <w:pStyle w:val="4"/>
        <w:pageBreakBefore w:val="0"/>
        <w:wordWrap/>
        <w:overflowPunct/>
        <w:topLinePunct w:val="0"/>
        <w:bidi w:val="0"/>
        <w:spacing w:line="560" w:lineRule="exact"/>
        <w:rPr>
          <w:rFonts w:hint="eastAsia"/>
          <w:color w:val="000000" w:themeColor="text1"/>
          <w:highlight w:val="yellow"/>
          <w:lang w:val="en-US"/>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综合上述分析，此项指标分值10分，实际得分10分。</w:t>
      </w:r>
    </w:p>
    <w:p w14:paraId="28718D5C">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b/>
          <w:bCs/>
          <w:color w:val="auto"/>
          <w:szCs w:val="32"/>
          <w:lang w:val="en-US" w:eastAsia="zh-CN"/>
        </w:rPr>
      </w:pPr>
      <w:r>
        <w:rPr>
          <w:rFonts w:hint="eastAsia"/>
          <w:b/>
          <w:bCs/>
          <w:color w:val="auto"/>
          <w:szCs w:val="32"/>
          <w:lang w:val="en-US" w:eastAsia="zh-CN"/>
        </w:rPr>
        <w:t>③编制准确</w:t>
      </w:r>
    </w:p>
    <w:p w14:paraId="653D2792">
      <w:pPr>
        <w:pStyle w:val="4"/>
        <w:pageBreakBefore w:val="0"/>
        <w:wordWrap/>
        <w:overflowPunct/>
        <w:topLinePunct w:val="0"/>
        <w:bidi w:val="0"/>
        <w:spacing w:line="560" w:lineRule="exact"/>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14:textFill>
            <w14:solidFill>
              <w14:schemeClr w14:val="tx1"/>
            </w14:solidFill>
          </w14:textFill>
        </w:rPr>
        <w:t>根据</w:t>
      </w:r>
      <w:r>
        <w:rPr>
          <w:rFonts w:hint="eastAsia"/>
          <w:color w:val="000000" w:themeColor="text1"/>
          <w:highlight w:val="none"/>
          <w:lang w:val="en-US" w:eastAsia="zh-CN"/>
          <w14:textFill>
            <w14:solidFill>
              <w14:schemeClr w14:val="tx1"/>
            </w14:solidFill>
          </w14:textFill>
        </w:rPr>
        <w:t>房征中心</w:t>
      </w:r>
      <w:r>
        <w:rPr>
          <w:rFonts w:hint="eastAsia"/>
          <w:color w:val="000000" w:themeColor="text1"/>
          <w:highlight w:val="none"/>
          <w:lang w:val="en-US"/>
          <w14:textFill>
            <w14:solidFill>
              <w14:schemeClr w14:val="tx1"/>
            </w14:solidFill>
          </w14:textFill>
        </w:rPr>
        <w:t>202</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lang w:val="en-US"/>
          <w14:textFill>
            <w14:solidFill>
              <w14:schemeClr w14:val="tx1"/>
            </w14:solidFill>
          </w14:textFill>
        </w:rPr>
        <w:t>年预算、决算表</w:t>
      </w:r>
      <w:r>
        <w:rPr>
          <w:rFonts w:hint="eastAsia"/>
          <w:color w:val="000000" w:themeColor="text1"/>
          <w:highlight w:val="none"/>
          <w:lang w:val="en-US" w:eastAsia="zh-CN"/>
          <w14:textFill>
            <w14:solidFill>
              <w14:schemeClr w14:val="tx1"/>
            </w14:solidFill>
          </w14:textFill>
        </w:rPr>
        <w:t>及结算表</w:t>
      </w:r>
      <w:r>
        <w:rPr>
          <w:rFonts w:hint="eastAsia"/>
          <w:color w:val="000000" w:themeColor="text1"/>
          <w:highlight w:val="none"/>
          <w:lang w:val="en-US"/>
          <w14:textFill>
            <w14:solidFill>
              <w14:schemeClr w14:val="tx1"/>
            </w14:solidFill>
          </w14:textFill>
        </w:rPr>
        <w:t>，单位202</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lang w:val="en-US"/>
          <w14:textFill>
            <w14:solidFill>
              <w14:schemeClr w14:val="tx1"/>
            </w14:solidFill>
          </w14:textFill>
        </w:rPr>
        <w:t>年预算数为</w:t>
      </w:r>
      <w:r>
        <w:rPr>
          <w:rFonts w:hint="eastAsia"/>
          <w:color w:val="auto"/>
          <w:szCs w:val="32"/>
          <w:highlight w:val="none"/>
          <w:lang w:val="en-US" w:eastAsia="zh-CN"/>
        </w:rPr>
        <w:t>251.15</w:t>
      </w:r>
      <w:r>
        <w:rPr>
          <w:rFonts w:hint="eastAsia"/>
          <w:color w:val="000000" w:themeColor="text1"/>
          <w:highlight w:val="none"/>
          <w:lang w:val="en-US"/>
          <w14:textFill>
            <w14:solidFill>
              <w14:schemeClr w14:val="tx1"/>
            </w14:solidFill>
          </w14:textFill>
        </w:rPr>
        <w:t>万元，</w:t>
      </w:r>
      <w:r>
        <w:rPr>
          <w:rFonts w:hint="eastAsia"/>
          <w:color w:val="000000" w:themeColor="text1"/>
          <w:highlight w:val="none"/>
          <w:lang w:val="en-US" w:eastAsia="zh-CN"/>
          <w14:textFill>
            <w14:solidFill>
              <w14:schemeClr w14:val="tx1"/>
            </w14:solidFill>
          </w14:textFill>
        </w:rPr>
        <w:t>调整预算为</w:t>
      </w:r>
      <w:r>
        <w:rPr>
          <w:rFonts w:hint="eastAsia"/>
          <w:color w:val="auto"/>
          <w:szCs w:val="32"/>
          <w:highlight w:val="none"/>
          <w:lang w:val="en-US" w:eastAsia="zh-CN"/>
        </w:rPr>
        <w:t>222.64</w:t>
      </w:r>
      <w:r>
        <w:rPr>
          <w:rFonts w:hint="eastAsia"/>
          <w:color w:val="000000" w:themeColor="text1"/>
          <w:highlight w:val="none"/>
          <w:lang w:val="en-US" w:eastAsia="zh-CN"/>
          <w14:textFill>
            <w14:solidFill>
              <w14:schemeClr w14:val="tx1"/>
            </w14:solidFill>
          </w14:textFill>
        </w:rPr>
        <w:t>万元，</w:t>
      </w:r>
      <w:r>
        <w:rPr>
          <w:rFonts w:hint="eastAsia"/>
          <w:color w:val="000000" w:themeColor="text1"/>
          <w:highlight w:val="none"/>
          <w:lang w:val="en-US"/>
          <w14:textFill>
            <w14:solidFill>
              <w14:schemeClr w14:val="tx1"/>
            </w14:solidFill>
          </w14:textFill>
        </w:rPr>
        <w:t>支出决算数为</w:t>
      </w:r>
      <w:r>
        <w:rPr>
          <w:rFonts w:hint="eastAsia"/>
          <w:color w:val="auto"/>
          <w:szCs w:val="32"/>
          <w:highlight w:val="none"/>
          <w:lang w:val="en-US" w:eastAsia="zh-CN"/>
        </w:rPr>
        <w:t>222.64</w:t>
      </w:r>
      <w:r>
        <w:rPr>
          <w:rFonts w:hint="eastAsia"/>
          <w:color w:val="000000" w:themeColor="text1"/>
          <w:highlight w:val="none"/>
          <w:lang w:val="en-US"/>
          <w14:textFill>
            <w14:solidFill>
              <w14:schemeClr w14:val="tx1"/>
            </w14:solidFill>
          </w14:textFill>
        </w:rPr>
        <w:t>万元</w:t>
      </w:r>
      <w:r>
        <w:rPr>
          <w:rFonts w:hint="eastAsia"/>
          <w:color w:val="000000" w:themeColor="text1"/>
          <w:highlight w:val="none"/>
          <w:lang w:val="en-US" w:eastAsia="zh-CN"/>
          <w14:textFill>
            <w14:solidFill>
              <w14:schemeClr w14:val="tx1"/>
            </w14:solidFill>
          </w14:textFill>
        </w:rPr>
        <w:t>。</w:t>
      </w:r>
    </w:p>
    <w:p w14:paraId="00A7635C">
      <w:pPr>
        <w:pStyle w:val="4"/>
        <w:pageBreakBefore w:val="0"/>
        <w:wordWrap/>
        <w:overflowPunct/>
        <w:topLinePunct w:val="0"/>
        <w:bidi w:val="0"/>
        <w:spacing w:line="560" w:lineRule="exact"/>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根据评分公式，部门全年预算调剂金额/年初部门预算数=0.11&gt;0.1</w:t>
      </w:r>
    </w:p>
    <w:p w14:paraId="303C3ED3">
      <w:pPr>
        <w:pStyle w:val="4"/>
        <w:pageBreakBefore w:val="0"/>
        <w:wordWrap/>
        <w:overflowPunct/>
        <w:topLinePunct w:val="0"/>
        <w:bidi w:val="0"/>
        <w:spacing w:line="560" w:lineRule="exact"/>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综合上述分析，此项指标分值10分，实际得分0分，扣分10分。</w:t>
      </w:r>
    </w:p>
    <w:p w14:paraId="668CF443">
      <w:pPr>
        <w:pStyle w:val="4"/>
        <w:pageBreakBefore w:val="0"/>
        <w:widowControl w:val="0"/>
        <w:numPr>
          <w:ilvl w:val="0"/>
          <w:numId w:val="3"/>
        </w:numPr>
        <w:kinsoku/>
        <w:wordWrap/>
        <w:overflowPunct/>
        <w:topLinePunct w:val="0"/>
        <w:autoSpaceDE/>
        <w:autoSpaceDN/>
        <w:bidi w:val="0"/>
        <w:spacing w:line="560" w:lineRule="exact"/>
        <w:ind w:left="0" w:leftChars="0" w:firstLine="643" w:firstLineChars="200"/>
        <w:textAlignment w:val="auto"/>
        <w:outlineLvl w:val="2"/>
        <w:rPr>
          <w:rFonts w:hint="eastAsia"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预算执行</w:t>
      </w:r>
    </w:p>
    <w:p w14:paraId="763F82B8">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highlight w:val="none"/>
          <w:lang w:val="en-US" w:eastAsia="zh-CN"/>
        </w:rPr>
      </w:pPr>
      <w:r>
        <w:rPr>
          <w:rFonts w:hint="eastAsia" w:ascii="Times New Roman" w:hAnsi="Times New Roman" w:cs="Times New Roman"/>
          <w:b/>
          <w:bCs/>
          <w:color w:val="auto"/>
          <w:szCs w:val="32"/>
          <w:highlight w:val="none"/>
          <w:lang w:val="en-US" w:eastAsia="zh-CN"/>
        </w:rPr>
        <w:t>①支出控制</w:t>
      </w:r>
    </w:p>
    <w:p w14:paraId="67A0D505">
      <w:pPr>
        <w:pStyle w:val="4"/>
        <w:pageBreakBefore w:val="0"/>
        <w:wordWrap/>
        <w:overflowPunct/>
        <w:topLinePunct w:val="0"/>
        <w:bidi w:val="0"/>
        <w:spacing w:line="560" w:lineRule="exact"/>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14:textFill>
            <w14:solidFill>
              <w14:schemeClr w14:val="tx1"/>
            </w14:solidFill>
          </w14:textFill>
        </w:rPr>
        <w:t>日常公用经费及项目支出中“办公费、印刷费、水费、电费、物业管理费”等科目年初预算数为</w:t>
      </w:r>
      <w:r>
        <w:rPr>
          <w:rFonts w:hint="eastAsia"/>
          <w:color w:val="000000" w:themeColor="text1"/>
          <w:highlight w:val="none"/>
          <w:lang w:val="en-US" w:eastAsia="zh-CN"/>
          <w14:textFill>
            <w14:solidFill>
              <w14:schemeClr w14:val="tx1"/>
            </w14:solidFill>
          </w14:textFill>
        </w:rPr>
        <w:t>13.73</w:t>
      </w:r>
      <w:r>
        <w:rPr>
          <w:rFonts w:hint="eastAsia"/>
          <w:color w:val="000000" w:themeColor="text1"/>
          <w:highlight w:val="none"/>
          <w:lang w:val="en-US"/>
          <w14:textFill>
            <w14:solidFill>
              <w14:schemeClr w14:val="tx1"/>
            </w14:solidFill>
          </w14:textFill>
        </w:rPr>
        <w:t>万元，决算数为</w:t>
      </w:r>
      <w:r>
        <w:rPr>
          <w:rFonts w:hint="eastAsia"/>
          <w:color w:val="000000" w:themeColor="text1"/>
          <w:highlight w:val="none"/>
          <w:lang w:val="en-US" w:eastAsia="zh-CN"/>
          <w14:textFill>
            <w14:solidFill>
              <w14:schemeClr w14:val="tx1"/>
            </w14:solidFill>
          </w14:textFill>
        </w:rPr>
        <w:t>13.73</w:t>
      </w:r>
      <w:r>
        <w:rPr>
          <w:rFonts w:hint="eastAsia"/>
          <w:color w:val="000000" w:themeColor="text1"/>
          <w:highlight w:val="none"/>
          <w:lang w:val="en-US"/>
          <w14:textFill>
            <w14:solidFill>
              <w14:schemeClr w14:val="tx1"/>
            </w14:solidFill>
          </w14:textFill>
        </w:rPr>
        <w:t>万元，预决算偏差程度为</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lang w:val="en-US"/>
          <w14:textFill>
            <w14:solidFill>
              <w14:schemeClr w14:val="tx1"/>
            </w14:solidFill>
          </w14:textFill>
        </w:rPr>
        <w:t>%，预决算偏差程度在10%以内</w:t>
      </w:r>
      <w:r>
        <w:rPr>
          <w:rFonts w:hint="eastAsia"/>
          <w:color w:val="000000" w:themeColor="text1"/>
          <w:highlight w:val="none"/>
          <w:lang w:val="en-US" w:eastAsia="zh-CN"/>
          <w14:textFill>
            <w14:solidFill>
              <w14:schemeClr w14:val="tx1"/>
            </w14:solidFill>
          </w14:textFill>
        </w:rPr>
        <w:t>，编制准确。</w:t>
      </w:r>
    </w:p>
    <w:p w14:paraId="72B8A624">
      <w:pPr>
        <w:pStyle w:val="4"/>
        <w:pageBreakBefore w:val="0"/>
        <w:wordWrap/>
        <w:overflowPunct/>
        <w:topLinePunct w:val="0"/>
        <w:bidi w:val="0"/>
        <w:spacing w:line="560" w:lineRule="exact"/>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综合上述分析，此项指标分值10分，实际得分10分。</w:t>
      </w:r>
    </w:p>
    <w:p w14:paraId="7C13D88A">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②动态调整</w:t>
      </w:r>
    </w:p>
    <w:p w14:paraId="30C90663">
      <w:pPr>
        <w:pStyle w:val="4"/>
        <w:pageBreakBefore w:val="0"/>
        <w:wordWrap/>
        <w:overflowPunct/>
        <w:topLinePunct w:val="0"/>
        <w:bidi w:val="0"/>
        <w:spacing w:line="560" w:lineRule="exact"/>
        <w:rPr>
          <w:rFonts w:hint="eastAsia"/>
          <w:highlight w:val="none"/>
        </w:rPr>
      </w:pPr>
      <w:r>
        <w:rPr>
          <w:rFonts w:hint="eastAsia"/>
          <w:highlight w:val="none"/>
        </w:rPr>
        <w:t>根据部门项目绩效监控分析表及相关数据知，</w:t>
      </w:r>
      <w:r>
        <w:rPr>
          <w:rFonts w:hint="eastAsia"/>
          <w:highlight w:val="none"/>
          <w:lang w:val="en-US" w:eastAsia="zh-CN"/>
        </w:rPr>
        <w:t>房征中心</w:t>
      </w:r>
      <w:r>
        <w:rPr>
          <w:rFonts w:hint="eastAsia"/>
          <w:highlight w:val="none"/>
        </w:rPr>
        <w:t>开展绩效运行监控后，无相应调整取消额，无结余注销额，绩效监控结果应用情况良好。</w:t>
      </w:r>
    </w:p>
    <w:p w14:paraId="2454EE69">
      <w:pPr>
        <w:pStyle w:val="4"/>
        <w:pageBreakBefore w:val="0"/>
        <w:wordWrap/>
        <w:overflowPunct/>
        <w:topLinePunct w:val="0"/>
        <w:bidi w:val="0"/>
        <w:spacing w:line="560" w:lineRule="exact"/>
        <w:rPr>
          <w:rFonts w:hint="eastAsia"/>
          <w:highlight w:val="none"/>
          <w:lang w:val="en-US" w:eastAsia="zh-CN"/>
        </w:rPr>
      </w:pPr>
      <w:r>
        <w:rPr>
          <w:rFonts w:hint="eastAsia"/>
          <w:color w:val="000000" w:themeColor="text1"/>
          <w:highlight w:val="none"/>
          <w:lang w:val="en-US" w:eastAsia="zh-CN"/>
          <w14:textFill>
            <w14:solidFill>
              <w14:schemeClr w14:val="tx1"/>
            </w14:solidFill>
          </w14:textFill>
        </w:rPr>
        <w:t>综合上述分析，此项指标分值10分，实际得分10分。</w:t>
      </w:r>
    </w:p>
    <w:p w14:paraId="0F663B6B">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③执行进度</w:t>
      </w:r>
    </w:p>
    <w:p w14:paraId="1B16D694">
      <w:pPr>
        <w:pStyle w:val="4"/>
        <w:pageBreakBefore w:val="0"/>
        <w:wordWrap/>
        <w:overflowPunct/>
        <w:topLinePunct w:val="0"/>
        <w:bidi w:val="0"/>
        <w:spacing w:line="560" w:lineRule="exact"/>
        <w:rPr>
          <w:rFonts w:hint="eastAsia"/>
          <w:highlight w:val="none"/>
        </w:rPr>
      </w:pPr>
      <w:r>
        <w:rPr>
          <w:rFonts w:hint="eastAsia"/>
          <w:highlight w:val="none"/>
        </w:rPr>
        <w:t>在</w:t>
      </w:r>
      <w:r>
        <w:rPr>
          <w:rFonts w:hint="eastAsia"/>
          <w:highlight w:val="none"/>
          <w:lang w:val="en-US"/>
        </w:rPr>
        <w:t>202</w:t>
      </w:r>
      <w:r>
        <w:rPr>
          <w:rFonts w:hint="eastAsia"/>
          <w:highlight w:val="none"/>
          <w:lang w:val="en-US" w:eastAsia="zh-CN"/>
        </w:rPr>
        <w:t>1</w:t>
      </w:r>
      <w:r>
        <w:rPr>
          <w:rFonts w:hint="eastAsia"/>
          <w:highlight w:val="none"/>
          <w:lang w:val="en-US"/>
        </w:rPr>
        <w:t>年6月</w:t>
      </w:r>
      <w:r>
        <w:rPr>
          <w:rFonts w:hint="eastAsia"/>
          <w:highlight w:val="none"/>
        </w:rPr>
        <w:t>实际支出</w:t>
      </w:r>
      <w:r>
        <w:rPr>
          <w:rFonts w:hint="eastAsia"/>
          <w:highlight w:val="none"/>
          <w:lang w:val="en-US"/>
        </w:rPr>
        <w:t>金额</w:t>
      </w:r>
      <w:r>
        <w:rPr>
          <w:rFonts w:hint="eastAsia"/>
          <w:highlight w:val="none"/>
        </w:rPr>
        <w:t>为</w:t>
      </w:r>
      <w:r>
        <w:rPr>
          <w:rFonts w:hint="eastAsia"/>
          <w:highlight w:val="none"/>
          <w:lang w:val="en-US" w:eastAsia="zh-CN"/>
        </w:rPr>
        <w:t>121.27</w:t>
      </w:r>
      <w:r>
        <w:rPr>
          <w:rFonts w:hint="eastAsia"/>
          <w:highlight w:val="none"/>
        </w:rPr>
        <w:t>万元</w:t>
      </w:r>
      <w:r>
        <w:rPr>
          <w:rFonts w:hint="eastAsia"/>
          <w:highlight w:val="none"/>
          <w:lang w:eastAsia="zh-CN"/>
        </w:rPr>
        <w:t>，</w:t>
      </w:r>
      <w:r>
        <w:rPr>
          <w:rFonts w:hint="eastAsia"/>
          <w:highlight w:val="none"/>
          <w:lang w:val="en-US" w:eastAsia="zh-CN"/>
        </w:rPr>
        <w:t>预算执行进度</w:t>
      </w:r>
      <w:r>
        <w:rPr>
          <w:highlight w:val="none"/>
        </w:rPr>
        <w:t>为</w:t>
      </w:r>
      <w:r>
        <w:rPr>
          <w:rFonts w:hint="eastAsia"/>
          <w:highlight w:val="none"/>
          <w:lang w:val="en-US" w:eastAsia="zh-CN"/>
        </w:rPr>
        <w:t>48.29</w:t>
      </w:r>
      <w:r>
        <w:rPr>
          <w:rFonts w:hint="eastAsia"/>
          <w:highlight w:val="none"/>
        </w:rPr>
        <w:t>%</w:t>
      </w:r>
      <w:r>
        <w:rPr>
          <w:rFonts w:hint="eastAsia"/>
          <w:highlight w:val="none"/>
          <w:lang w:eastAsia="zh-CN"/>
        </w:rPr>
        <w:t>，</w:t>
      </w:r>
      <w:r>
        <w:rPr>
          <w:rFonts w:hint="eastAsia"/>
          <w:highlight w:val="none"/>
          <w:lang w:val="en-US" w:eastAsia="zh-CN"/>
        </w:rPr>
        <w:t>达到</w:t>
      </w:r>
      <w:r>
        <w:rPr>
          <w:rFonts w:hint="eastAsia"/>
          <w:highlight w:val="none"/>
        </w:rPr>
        <w:t>40%</w:t>
      </w:r>
      <w:r>
        <w:rPr>
          <w:rFonts w:hint="eastAsia"/>
          <w:highlight w:val="none"/>
          <w:lang w:val="en-US" w:eastAsia="zh-CN"/>
        </w:rPr>
        <w:t>预算执行进度。</w:t>
      </w:r>
      <w:r>
        <w:rPr>
          <w:rFonts w:hint="eastAsia"/>
          <w:highlight w:val="none"/>
          <w:lang w:val="en-US"/>
        </w:rPr>
        <w:t>9</w:t>
      </w:r>
      <w:r>
        <w:rPr>
          <w:rFonts w:hint="eastAsia"/>
          <w:highlight w:val="none"/>
        </w:rPr>
        <w:t>月、11月预算执行进度</w:t>
      </w:r>
      <w:r>
        <w:rPr>
          <w:highlight w:val="none"/>
        </w:rPr>
        <w:t>分</w:t>
      </w:r>
      <w:r>
        <w:rPr>
          <w:rFonts w:hint="eastAsia"/>
          <w:highlight w:val="none"/>
          <w:lang w:val="en-US" w:eastAsia="zh-CN"/>
        </w:rPr>
        <w:t>别为65.32</w:t>
      </w:r>
      <w:r>
        <w:rPr>
          <w:rFonts w:hint="eastAsia"/>
          <w:highlight w:val="none"/>
        </w:rPr>
        <w:t>%、</w:t>
      </w:r>
      <w:r>
        <w:rPr>
          <w:rFonts w:hint="eastAsia"/>
          <w:highlight w:val="none"/>
          <w:lang w:val="en-US" w:eastAsia="zh-CN"/>
        </w:rPr>
        <w:t>73.40</w:t>
      </w:r>
      <w:r>
        <w:rPr>
          <w:rFonts w:hint="eastAsia"/>
          <w:highlight w:val="none"/>
        </w:rPr>
        <w:t>%（实际支出</w:t>
      </w:r>
      <w:r>
        <w:rPr>
          <w:rFonts w:hint="eastAsia"/>
          <w:highlight w:val="none"/>
          <w:lang w:val="en-US"/>
        </w:rPr>
        <w:t>金额</w:t>
      </w:r>
      <w:r>
        <w:rPr>
          <w:rFonts w:hint="eastAsia"/>
          <w:highlight w:val="none"/>
        </w:rPr>
        <w:t>分别</w:t>
      </w:r>
      <w:r>
        <w:rPr>
          <w:rFonts w:hint="eastAsia"/>
          <w:highlight w:val="none"/>
          <w:lang w:val="en-US" w:eastAsia="zh-CN"/>
        </w:rPr>
        <w:t>为166.67</w:t>
      </w:r>
      <w:r>
        <w:rPr>
          <w:rFonts w:hint="eastAsia"/>
          <w:highlight w:val="none"/>
        </w:rPr>
        <w:t>万元、</w:t>
      </w:r>
      <w:r>
        <w:rPr>
          <w:rFonts w:hint="eastAsia"/>
          <w:highlight w:val="none"/>
          <w:lang w:val="en-US" w:eastAsia="zh-CN"/>
        </w:rPr>
        <w:t>187.28</w:t>
      </w:r>
      <w:r>
        <w:rPr>
          <w:rFonts w:hint="eastAsia"/>
          <w:highlight w:val="none"/>
        </w:rPr>
        <w:t>万元），实际支出进度</w:t>
      </w:r>
      <w:r>
        <w:rPr>
          <w:rFonts w:hint="eastAsia"/>
          <w:highlight w:val="none"/>
          <w:lang w:val="en-US" w:eastAsia="zh-CN"/>
        </w:rPr>
        <w:t>未</w:t>
      </w:r>
      <w:r>
        <w:rPr>
          <w:rFonts w:hint="eastAsia"/>
          <w:highlight w:val="none"/>
        </w:rPr>
        <w:t>达到67.5%、82.5%，</w:t>
      </w:r>
      <w:r>
        <w:rPr>
          <w:rFonts w:hint="eastAsia"/>
          <w:highlight w:val="none"/>
          <w:lang w:val="en-US"/>
        </w:rPr>
        <w:t>预算</w:t>
      </w:r>
      <w:r>
        <w:rPr>
          <w:rFonts w:hint="eastAsia"/>
          <w:highlight w:val="none"/>
        </w:rPr>
        <w:t>执行进度完成情况</w:t>
      </w:r>
      <w:r>
        <w:rPr>
          <w:rFonts w:hint="eastAsia"/>
          <w:highlight w:val="none"/>
          <w:lang w:val="en-US" w:eastAsia="zh-CN"/>
        </w:rPr>
        <w:t>一般</w:t>
      </w:r>
      <w:r>
        <w:rPr>
          <w:rFonts w:hint="eastAsia"/>
          <w:highlight w:val="none"/>
        </w:rPr>
        <w:t>。</w:t>
      </w:r>
    </w:p>
    <w:p w14:paraId="554588CB">
      <w:pPr>
        <w:pStyle w:val="4"/>
        <w:pageBreakBefore w:val="0"/>
        <w:wordWrap/>
        <w:overflowPunct/>
        <w:topLinePunct w:val="0"/>
        <w:bidi w:val="0"/>
        <w:spacing w:line="560" w:lineRule="exact"/>
        <w:rPr>
          <w:rFonts w:hint="default" w:eastAsia="仿宋_GB2312"/>
          <w:highlight w:val="none"/>
          <w:lang w:val="en-US" w:eastAsia="zh-CN"/>
        </w:rPr>
      </w:pPr>
      <w:r>
        <w:rPr>
          <w:rFonts w:hint="eastAsia"/>
          <w:color w:val="000000" w:themeColor="text1"/>
          <w:highlight w:val="none"/>
          <w:lang w:val="en-US" w:eastAsia="zh-CN"/>
          <w14:textFill>
            <w14:solidFill>
              <w14:schemeClr w14:val="tx1"/>
            </w14:solidFill>
          </w14:textFill>
        </w:rPr>
        <w:t>根据评分公式，得分=3+</w:t>
      </w:r>
      <w:r>
        <w:rPr>
          <w:rFonts w:hint="eastAsia"/>
          <w:highlight w:val="none"/>
          <w:lang w:val="en-US" w:eastAsia="zh-CN"/>
        </w:rPr>
        <w:t>65.32</w:t>
      </w:r>
      <w:r>
        <w:rPr>
          <w:rFonts w:hint="eastAsia"/>
          <w:highlight w:val="none"/>
        </w:rPr>
        <w:t>%</w:t>
      </w:r>
      <w:r>
        <w:rPr>
          <w:rFonts w:hint="eastAsia"/>
          <w:highlight w:val="none"/>
          <w:lang w:val="en-US" w:eastAsia="zh-CN"/>
        </w:rPr>
        <w:t>*4+73.40</w:t>
      </w:r>
      <w:r>
        <w:rPr>
          <w:rFonts w:hint="eastAsia"/>
          <w:highlight w:val="none"/>
        </w:rPr>
        <w:t>%</w:t>
      </w:r>
      <w:r>
        <w:rPr>
          <w:rFonts w:hint="eastAsia"/>
          <w:highlight w:val="none"/>
          <w:lang w:val="en-US" w:eastAsia="zh-CN"/>
        </w:rPr>
        <w:t>*3=7.81分</w:t>
      </w:r>
    </w:p>
    <w:p w14:paraId="5DFB5D75">
      <w:pPr>
        <w:pStyle w:val="4"/>
        <w:pageBreakBefore w:val="0"/>
        <w:wordWrap/>
        <w:overflowPunct/>
        <w:topLinePunct w:val="0"/>
        <w:bidi w:val="0"/>
        <w:spacing w:line="560" w:lineRule="exact"/>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综合上述分析，此项指标分值10分，实际得分7.81分，扣分2.19分。</w:t>
      </w:r>
    </w:p>
    <w:p w14:paraId="685789CC">
      <w:pPr>
        <w:pStyle w:val="4"/>
        <w:pageBreakBefore w:val="0"/>
        <w:widowControl w:val="0"/>
        <w:numPr>
          <w:ilvl w:val="0"/>
          <w:numId w:val="3"/>
        </w:numPr>
        <w:kinsoku/>
        <w:wordWrap/>
        <w:overflowPunct/>
        <w:topLinePunct w:val="0"/>
        <w:autoSpaceDE/>
        <w:autoSpaceDN/>
        <w:bidi w:val="0"/>
        <w:spacing w:line="560" w:lineRule="exact"/>
        <w:ind w:left="0" w:leftChars="0" w:firstLine="643" w:firstLineChars="200"/>
        <w:textAlignment w:val="auto"/>
        <w:outlineLvl w:val="2"/>
        <w:rPr>
          <w:rFonts w:hint="default"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完成结果</w:t>
      </w:r>
    </w:p>
    <w:p w14:paraId="45C6A9F8">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①预算完成</w:t>
      </w:r>
    </w:p>
    <w:p w14:paraId="43037160">
      <w:pPr>
        <w:pStyle w:val="4"/>
        <w:pageBreakBefore w:val="0"/>
        <w:wordWrap/>
        <w:overflowPunct/>
        <w:topLinePunct w:val="0"/>
        <w:bidi w:val="0"/>
        <w:spacing w:line="560" w:lineRule="exact"/>
        <w:rPr>
          <w:rFonts w:hint="eastAsia" w:ascii="Times New Roman" w:hAnsi="Times New Roman" w:eastAsia="仿宋_GB2312" w:cs="Times New Roman"/>
          <w:kern w:val="0"/>
          <w:sz w:val="32"/>
          <w:szCs w:val="32"/>
          <w:highlight w:val="none"/>
        </w:rPr>
      </w:pPr>
      <w:r>
        <w:rPr>
          <w:rFonts w:hint="eastAsia" w:ascii="Times New Roman" w:hAnsi="Times New Roman" w:eastAsia="仿宋_GB2312" w:cs="Times New Roman"/>
          <w:kern w:val="0"/>
          <w:sz w:val="32"/>
          <w:szCs w:val="32"/>
          <w:highlight w:val="none"/>
        </w:rPr>
        <w:t>202</w:t>
      </w:r>
      <w:r>
        <w:rPr>
          <w:rFonts w:hint="eastAsia" w:ascii="Times New Roman" w:hAnsi="Times New Roman" w:eastAsia="仿宋_GB2312" w:cs="Times New Roman"/>
          <w:kern w:val="0"/>
          <w:sz w:val="32"/>
          <w:szCs w:val="32"/>
          <w:highlight w:val="none"/>
          <w:lang w:val="en-US" w:eastAsia="zh-CN"/>
        </w:rPr>
        <w:t>1</w:t>
      </w:r>
      <w:r>
        <w:rPr>
          <w:rFonts w:hint="eastAsia" w:ascii="Times New Roman" w:hAnsi="Times New Roman" w:eastAsia="仿宋_GB2312" w:cs="Times New Roman"/>
          <w:kern w:val="0"/>
          <w:sz w:val="32"/>
          <w:szCs w:val="32"/>
          <w:highlight w:val="none"/>
        </w:rPr>
        <w:t>年部门</w:t>
      </w:r>
      <w:r>
        <w:rPr>
          <w:rFonts w:hint="eastAsia" w:ascii="Times New Roman" w:hAnsi="Times New Roman" w:eastAsia="仿宋_GB2312" w:cs="Times New Roman"/>
          <w:kern w:val="0"/>
          <w:sz w:val="32"/>
          <w:szCs w:val="32"/>
          <w:highlight w:val="none"/>
          <w:lang w:val="en-US" w:eastAsia="zh-CN"/>
        </w:rPr>
        <w:t>调整</w:t>
      </w:r>
      <w:r>
        <w:rPr>
          <w:rFonts w:hint="eastAsia" w:ascii="Times New Roman" w:hAnsi="Times New Roman" w:eastAsia="仿宋_GB2312" w:cs="Times New Roman"/>
          <w:kern w:val="0"/>
          <w:sz w:val="32"/>
          <w:szCs w:val="32"/>
          <w:highlight w:val="none"/>
        </w:rPr>
        <w:t>预算</w:t>
      </w:r>
      <w:r>
        <w:rPr>
          <w:rFonts w:hint="eastAsia" w:ascii="Times New Roman" w:hAnsi="Times New Roman" w:eastAsia="仿宋_GB2312" w:cs="Times New Roman"/>
          <w:kern w:val="0"/>
          <w:sz w:val="32"/>
          <w:szCs w:val="32"/>
          <w:highlight w:val="none"/>
          <w:lang w:val="en-US" w:eastAsia="zh-CN"/>
        </w:rPr>
        <w:t>为</w:t>
      </w:r>
      <w:r>
        <w:rPr>
          <w:rFonts w:hint="eastAsia"/>
          <w:color w:val="auto"/>
          <w:szCs w:val="32"/>
          <w:highlight w:val="none"/>
          <w:lang w:val="en-US" w:eastAsia="zh-CN"/>
        </w:rPr>
        <w:t>222.64</w:t>
      </w:r>
      <w:r>
        <w:rPr>
          <w:rFonts w:hint="eastAsia"/>
          <w:color w:val="000000" w:themeColor="text1"/>
          <w:highlight w:val="none"/>
          <w:lang w:val="en-US" w:eastAsia="zh-CN"/>
          <w14:textFill>
            <w14:solidFill>
              <w14:schemeClr w14:val="tx1"/>
            </w14:solidFill>
          </w14:textFill>
        </w:rPr>
        <w:t>万元，</w:t>
      </w:r>
      <w:r>
        <w:rPr>
          <w:rFonts w:hint="eastAsia"/>
          <w:color w:val="000000" w:themeColor="text1"/>
          <w:highlight w:val="none"/>
          <w:lang w:val="en-US"/>
          <w14:textFill>
            <w14:solidFill>
              <w14:schemeClr w14:val="tx1"/>
            </w14:solidFill>
          </w14:textFill>
        </w:rPr>
        <w:t>支出决算数为</w:t>
      </w:r>
      <w:r>
        <w:rPr>
          <w:rFonts w:hint="eastAsia"/>
          <w:color w:val="auto"/>
          <w:szCs w:val="32"/>
          <w:highlight w:val="none"/>
          <w:lang w:val="en-US" w:eastAsia="zh-CN"/>
        </w:rPr>
        <w:t>222.64</w:t>
      </w:r>
      <w:r>
        <w:rPr>
          <w:rFonts w:hint="eastAsia"/>
          <w:color w:val="000000" w:themeColor="text1"/>
          <w:highlight w:val="none"/>
          <w:lang w:val="en-US"/>
          <w14:textFill>
            <w14:solidFill>
              <w14:schemeClr w14:val="tx1"/>
            </w14:solidFill>
          </w14:textFill>
        </w:rPr>
        <w:t>万元</w:t>
      </w:r>
      <w:r>
        <w:rPr>
          <w:rFonts w:hint="eastAsia" w:ascii="Times New Roman" w:hAnsi="Times New Roman" w:eastAsia="仿宋_GB2312" w:cs="Times New Roman"/>
          <w:kern w:val="0"/>
          <w:sz w:val="32"/>
          <w:szCs w:val="32"/>
          <w:highlight w:val="none"/>
        </w:rPr>
        <w:t>，部门整体实际预算执行率为</w:t>
      </w:r>
      <w:r>
        <w:rPr>
          <w:rFonts w:hint="eastAsia" w:eastAsia="仿宋"/>
          <w:color w:val="auto"/>
          <w:sz w:val="32"/>
          <w:szCs w:val="32"/>
          <w:highlight w:val="none"/>
          <w:lang w:val="en-US" w:eastAsia="zh-CN"/>
        </w:rPr>
        <w:t>100</w:t>
      </w:r>
      <w:r>
        <w:rPr>
          <w:rFonts w:hint="eastAsia" w:ascii="Times New Roman" w:hAnsi="Times New Roman" w:eastAsia="仿宋"/>
          <w:color w:val="auto"/>
          <w:sz w:val="32"/>
          <w:szCs w:val="32"/>
          <w:highlight w:val="none"/>
          <w:lang w:val="en-US" w:eastAsia="zh-CN"/>
        </w:rPr>
        <w:t>%</w:t>
      </w:r>
      <w:r>
        <w:rPr>
          <w:rFonts w:hint="eastAsia" w:ascii="Times New Roman" w:hAnsi="Times New Roman" w:eastAsia="仿宋_GB2312" w:cs="Times New Roman"/>
          <w:kern w:val="0"/>
          <w:sz w:val="32"/>
          <w:szCs w:val="32"/>
          <w:highlight w:val="none"/>
        </w:rPr>
        <w:t>，预算完成情况</w:t>
      </w:r>
      <w:r>
        <w:rPr>
          <w:rFonts w:hint="eastAsia" w:cs="Times New Roman"/>
          <w:kern w:val="0"/>
          <w:sz w:val="32"/>
          <w:szCs w:val="32"/>
          <w:highlight w:val="none"/>
          <w:lang w:val="en-US" w:eastAsia="zh-CN"/>
        </w:rPr>
        <w:t>好</w:t>
      </w:r>
      <w:r>
        <w:rPr>
          <w:rFonts w:hint="eastAsia" w:ascii="Times New Roman" w:hAnsi="Times New Roman" w:eastAsia="仿宋_GB2312" w:cs="Times New Roman"/>
          <w:kern w:val="0"/>
          <w:sz w:val="32"/>
          <w:szCs w:val="32"/>
          <w:highlight w:val="none"/>
        </w:rPr>
        <w:t>。</w:t>
      </w:r>
    </w:p>
    <w:p w14:paraId="0C1D3E23">
      <w:pPr>
        <w:pStyle w:val="4"/>
        <w:pageBreakBefore w:val="0"/>
        <w:wordWrap/>
        <w:overflowPunct/>
        <w:topLinePunct w:val="0"/>
        <w:bidi w:val="0"/>
        <w:spacing w:line="560" w:lineRule="exact"/>
        <w:rPr>
          <w:rFonts w:hint="eastAsia" w:ascii="Times New Roman" w:hAnsi="Times New Roman" w:eastAsia="仿宋_GB2312" w:cs="Times New Roman"/>
          <w:kern w:val="0"/>
          <w:sz w:val="32"/>
          <w:szCs w:val="32"/>
          <w:highlight w:val="none"/>
        </w:rPr>
      </w:pPr>
      <w:r>
        <w:rPr>
          <w:rFonts w:hint="eastAsia"/>
          <w:color w:val="000000" w:themeColor="text1"/>
          <w:highlight w:val="none"/>
          <w:lang w:val="en-US" w:eastAsia="zh-CN"/>
          <w14:textFill>
            <w14:solidFill>
              <w14:schemeClr w14:val="tx1"/>
            </w14:solidFill>
          </w14:textFill>
        </w:rPr>
        <w:t>综合上述分析，此项指标分值10分，实际得分10分。</w:t>
      </w:r>
    </w:p>
    <w:p w14:paraId="6DC2448A">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②违规记录</w:t>
      </w:r>
    </w:p>
    <w:p w14:paraId="59E7BB62">
      <w:pPr>
        <w:pageBreakBefore w:val="0"/>
        <w:wordWrap/>
        <w:overflowPunct/>
        <w:topLinePunct w:val="0"/>
        <w:autoSpaceDE w:val="0"/>
        <w:autoSpaceDN w:val="0"/>
        <w:bidi w:val="0"/>
        <w:adjustRightInd w:val="0"/>
        <w:spacing w:line="560" w:lineRule="exact"/>
        <w:ind w:firstLine="640" w:firstLineChars="200"/>
        <w:jc w:val="left"/>
        <w:rPr>
          <w:rFonts w:hint="eastAsia" w:ascii="Times New Roman" w:hAnsi="Times New Roman" w:eastAsia="仿宋_GB2312" w:cs="Times New Roman"/>
          <w:kern w:val="0"/>
          <w:sz w:val="32"/>
          <w:szCs w:val="32"/>
          <w:highlight w:val="none"/>
        </w:rPr>
      </w:pPr>
      <w:r>
        <w:rPr>
          <w:rFonts w:hint="eastAsia" w:ascii="Times New Roman" w:hAnsi="Times New Roman" w:eastAsia="仿宋_GB2312" w:cs="Times New Roman"/>
          <w:kern w:val="0"/>
          <w:sz w:val="32"/>
          <w:szCs w:val="32"/>
          <w:highlight w:val="none"/>
          <w:lang w:val="en-US" w:eastAsia="zh-CN"/>
        </w:rPr>
        <w:t>2021年，单位未接受</w:t>
      </w:r>
      <w:r>
        <w:rPr>
          <w:rFonts w:hint="eastAsia" w:ascii="Times New Roman" w:hAnsi="Times New Roman" w:eastAsia="仿宋_GB2312" w:cs="Times New Roman"/>
          <w:kern w:val="0"/>
          <w:sz w:val="32"/>
          <w:szCs w:val="32"/>
          <w:highlight w:val="none"/>
        </w:rPr>
        <w:t>审计监督、财政检查，不存在部门预算管理方面违纪违规问题。</w:t>
      </w:r>
    </w:p>
    <w:p w14:paraId="6E6B9049">
      <w:pPr>
        <w:pStyle w:val="4"/>
        <w:pageBreakBefore w:val="0"/>
        <w:wordWrap/>
        <w:overflowPunct/>
        <w:topLinePunct w:val="0"/>
        <w:bidi w:val="0"/>
        <w:spacing w:line="560" w:lineRule="exact"/>
        <w:rPr>
          <w:rFonts w:hint="eastAsia"/>
        </w:rPr>
      </w:pPr>
      <w:r>
        <w:rPr>
          <w:rFonts w:hint="eastAsia"/>
          <w:color w:val="000000" w:themeColor="text1"/>
          <w:highlight w:val="none"/>
          <w:lang w:val="en-US" w:eastAsia="zh-CN"/>
          <w14:textFill>
            <w14:solidFill>
              <w14:schemeClr w14:val="tx1"/>
            </w14:solidFill>
          </w14:textFill>
        </w:rPr>
        <w:t>综合上述分析，此项指标分值10分，实际得分10分。</w:t>
      </w:r>
    </w:p>
    <w:p w14:paraId="053AD773">
      <w:pPr>
        <w:pStyle w:val="4"/>
        <w:pageBreakBefore w:val="0"/>
        <w:widowControl w:val="0"/>
        <w:numPr>
          <w:ilvl w:val="-1"/>
          <w:numId w:val="0"/>
        </w:numPr>
        <w:kinsoku/>
        <w:wordWrap/>
        <w:overflowPunct/>
        <w:topLinePunct w:val="0"/>
        <w:autoSpaceDE/>
        <w:autoSpaceDN/>
        <w:bidi w:val="0"/>
        <w:spacing w:line="560" w:lineRule="exact"/>
        <w:ind w:left="0" w:leftChars="0" w:firstLine="643" w:firstLineChars="200"/>
        <w:textAlignment w:val="auto"/>
        <w:outlineLvl w:val="2"/>
        <w:rPr>
          <w:rFonts w:hint="default"/>
          <w:lang w:val="en-US" w:eastAsia="zh-CN"/>
        </w:rPr>
      </w:pPr>
      <w:r>
        <w:rPr>
          <w:rFonts w:hint="eastAsia" w:ascii="仿宋" w:hAnsi="仿宋" w:eastAsia="仿宋" w:cs="仿宋"/>
          <w:b/>
          <w:color w:val="auto"/>
          <w:kern w:val="2"/>
          <w:sz w:val="32"/>
          <w:szCs w:val="32"/>
          <w:lang w:val="en-US" w:eastAsia="zh-CN" w:bidi="ar-SA"/>
        </w:rPr>
        <w:t>2.绩效结果应用</w:t>
      </w:r>
    </w:p>
    <w:p w14:paraId="765D6933">
      <w:pPr>
        <w:pStyle w:val="4"/>
        <w:pageBreakBefore w:val="0"/>
        <w:widowControl w:val="0"/>
        <w:numPr>
          <w:ilvl w:val="0"/>
          <w:numId w:val="0"/>
        </w:numPr>
        <w:kinsoku/>
        <w:wordWrap/>
        <w:overflowPunct/>
        <w:topLinePunct w:val="0"/>
        <w:autoSpaceDE/>
        <w:autoSpaceDN/>
        <w:bidi w:val="0"/>
        <w:spacing w:line="560" w:lineRule="exact"/>
        <w:ind w:leftChars="200"/>
        <w:textAlignment w:val="auto"/>
        <w:outlineLvl w:val="2"/>
        <w:rPr>
          <w:rFonts w:hint="default"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（1）信息公开</w:t>
      </w:r>
    </w:p>
    <w:p w14:paraId="7AC9FEE4">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①自评公开</w:t>
      </w:r>
    </w:p>
    <w:p w14:paraId="06964C8F">
      <w:pPr>
        <w:pStyle w:val="4"/>
        <w:pageBreakBefore w:val="0"/>
        <w:wordWrap/>
        <w:overflowPunct/>
        <w:topLinePunct w:val="0"/>
        <w:bidi w:val="0"/>
        <w:spacing w:line="560" w:lineRule="exact"/>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房征中心</w:t>
      </w:r>
      <w:r>
        <w:rPr>
          <w:color w:val="000000" w:themeColor="text1"/>
          <w:highlight w:val="none"/>
          <w14:textFill>
            <w14:solidFill>
              <w14:schemeClr w14:val="tx1"/>
            </w14:solidFill>
          </w14:textFill>
        </w:rPr>
        <w:t>20</w:t>
      </w:r>
      <w:r>
        <w:rPr>
          <w:rFonts w:hint="eastAsia"/>
          <w:color w:val="000000" w:themeColor="text1"/>
          <w:highlight w:val="none"/>
          <w:lang w:val="en-US" w:eastAsia="zh-CN"/>
          <w14:textFill>
            <w14:solidFill>
              <w14:schemeClr w14:val="tx1"/>
            </w14:solidFill>
          </w14:textFill>
        </w:rPr>
        <w:t>21</w:t>
      </w:r>
      <w:r>
        <w:rPr>
          <w:color w:val="000000" w:themeColor="text1"/>
          <w:highlight w:val="none"/>
          <w14:textFill>
            <w14:solidFill>
              <w14:schemeClr w14:val="tx1"/>
            </w14:solidFill>
          </w14:textFill>
        </w:rPr>
        <w:t>年预算编制说明和</w:t>
      </w:r>
      <w:r>
        <w:rPr>
          <w:rFonts w:hint="eastAsia"/>
          <w:color w:val="000000" w:themeColor="text1"/>
          <w:highlight w:val="none"/>
          <w14:textFill>
            <w14:solidFill>
              <w14:schemeClr w14:val="tx1"/>
            </w14:solidFill>
          </w14:textFill>
        </w:rPr>
        <w:t>附件</w:t>
      </w:r>
      <w:r>
        <w:rPr>
          <w:color w:val="000000" w:themeColor="text1"/>
          <w:highlight w:val="none"/>
          <w14:textFill>
            <w14:solidFill>
              <w14:schemeClr w14:val="tx1"/>
            </w14:solidFill>
          </w14:textFill>
        </w:rPr>
        <w:t>、20</w:t>
      </w:r>
      <w:r>
        <w:rPr>
          <w:rFonts w:hint="eastAsia"/>
          <w:color w:val="000000" w:themeColor="text1"/>
          <w:highlight w:val="none"/>
          <w:lang w:val="en-US" w:eastAsia="zh-CN"/>
          <w14:textFill>
            <w14:solidFill>
              <w14:schemeClr w14:val="tx1"/>
            </w14:solidFill>
          </w14:textFill>
        </w:rPr>
        <w:t>21</w:t>
      </w:r>
      <w:r>
        <w:rPr>
          <w:color w:val="000000" w:themeColor="text1"/>
          <w:highlight w:val="none"/>
          <w14:textFill>
            <w14:solidFill>
              <w14:schemeClr w14:val="tx1"/>
            </w14:solidFill>
          </w14:textFill>
        </w:rPr>
        <w:t>年决算公开编制说明和</w:t>
      </w:r>
      <w:r>
        <w:rPr>
          <w:rFonts w:hint="eastAsia"/>
          <w:color w:val="000000" w:themeColor="text1"/>
          <w:highlight w:val="none"/>
          <w14:textFill>
            <w14:solidFill>
              <w14:schemeClr w14:val="tx1"/>
            </w14:solidFill>
          </w14:textFill>
        </w:rPr>
        <w:t>附件</w:t>
      </w:r>
      <w:r>
        <w:rPr>
          <w:color w:val="000000" w:themeColor="text1"/>
          <w:highlight w:val="none"/>
          <w14:textFill>
            <w14:solidFill>
              <w14:schemeClr w14:val="tx1"/>
            </w14:solidFill>
          </w14:textFill>
        </w:rPr>
        <w:t>已按规定公开</w:t>
      </w:r>
      <w:r>
        <w:rPr>
          <w:rFonts w:hint="eastAsia"/>
          <w:color w:val="000000" w:themeColor="text1"/>
          <w:highlight w:val="none"/>
          <w14:textFill>
            <w14:solidFill>
              <w14:schemeClr w14:val="tx1"/>
            </w14:solidFill>
          </w14:textFill>
        </w:rPr>
        <w:t>于</w:t>
      </w:r>
      <w:r>
        <w:rPr>
          <w:rFonts w:hint="eastAsia"/>
          <w:color w:val="000000" w:themeColor="text1"/>
          <w:highlight w:val="none"/>
          <w:lang w:val="en-US" w:eastAsia="zh-CN"/>
          <w14:textFill>
            <w14:solidFill>
              <w14:schemeClr w14:val="tx1"/>
            </w14:solidFill>
          </w14:textFill>
        </w:rPr>
        <w:t>遂宁市河东新区管理委员会政府</w:t>
      </w:r>
      <w:r>
        <w:rPr>
          <w:rFonts w:hint="eastAsia"/>
          <w:color w:val="000000" w:themeColor="text1"/>
          <w:highlight w:val="none"/>
          <w14:textFill>
            <w14:solidFill>
              <w14:schemeClr w14:val="tx1"/>
            </w14:solidFill>
          </w14:textFill>
        </w:rPr>
        <w:t>信息公开网</w:t>
      </w:r>
      <w:r>
        <w:rPr>
          <w:color w:val="000000" w:themeColor="text1"/>
          <w:highlight w:val="none"/>
          <w14:textFill>
            <w14:solidFill>
              <w14:schemeClr w14:val="tx1"/>
            </w14:solidFill>
          </w14:textFill>
        </w:rPr>
        <w:t>，20</w:t>
      </w:r>
      <w:r>
        <w:rPr>
          <w:rFonts w:hint="eastAsia"/>
          <w:color w:val="000000" w:themeColor="text1"/>
          <w:highlight w:val="none"/>
          <w:lang w:val="en-US" w:eastAsia="zh-CN"/>
          <w14:textFill>
            <w14:solidFill>
              <w14:schemeClr w14:val="tx1"/>
            </w14:solidFill>
          </w14:textFill>
        </w:rPr>
        <w:t>20</w:t>
      </w:r>
      <w:r>
        <w:rPr>
          <w:color w:val="000000" w:themeColor="text1"/>
          <w:highlight w:val="none"/>
          <w14:textFill>
            <w14:solidFill>
              <w14:schemeClr w14:val="tx1"/>
            </w14:solidFill>
          </w14:textFill>
        </w:rPr>
        <w:t>年度整体支出绩效自评报告已随决算</w:t>
      </w:r>
      <w:r>
        <w:rPr>
          <w:rFonts w:hint="eastAsia"/>
          <w:color w:val="000000" w:themeColor="text1"/>
          <w:highlight w:val="none"/>
          <w:lang w:val="en-US"/>
          <w14:textFill>
            <w14:solidFill>
              <w14:schemeClr w14:val="tx1"/>
            </w14:solidFill>
          </w14:textFill>
        </w:rPr>
        <w:t>同时</w:t>
      </w:r>
      <w:r>
        <w:rPr>
          <w:color w:val="000000" w:themeColor="text1"/>
          <w:highlight w:val="none"/>
          <w14:textFill>
            <w14:solidFill>
              <w14:schemeClr w14:val="tx1"/>
            </w14:solidFill>
          </w14:textFill>
        </w:rPr>
        <w:t>公开，符合</w:t>
      </w:r>
      <w:r>
        <w:rPr>
          <w:rFonts w:hint="eastAsia"/>
          <w:color w:val="000000" w:themeColor="text1"/>
          <w:highlight w:val="none"/>
          <w14:textFill>
            <w14:solidFill>
              <w14:schemeClr w14:val="tx1"/>
            </w14:solidFill>
          </w14:textFill>
        </w:rPr>
        <w:t>信息公开</w:t>
      </w:r>
      <w:r>
        <w:rPr>
          <w:color w:val="000000" w:themeColor="text1"/>
          <w:highlight w:val="none"/>
          <w14:textFill>
            <w14:solidFill>
              <w14:schemeClr w14:val="tx1"/>
            </w14:solidFill>
          </w14:textFill>
        </w:rPr>
        <w:t>相关</w:t>
      </w:r>
      <w:r>
        <w:rPr>
          <w:rFonts w:hint="eastAsia"/>
          <w:color w:val="000000" w:themeColor="text1"/>
          <w:highlight w:val="none"/>
          <w:lang w:val="en-US"/>
          <w14:textFill>
            <w14:solidFill>
              <w14:schemeClr w14:val="tx1"/>
            </w14:solidFill>
          </w14:textFill>
        </w:rPr>
        <w:t>法律法规</w:t>
      </w:r>
      <w:r>
        <w:rPr>
          <w:color w:val="000000" w:themeColor="text1"/>
          <w:highlight w:val="none"/>
          <w14:textFill>
            <w14:solidFill>
              <w14:schemeClr w14:val="tx1"/>
            </w14:solidFill>
          </w14:textFill>
        </w:rPr>
        <w:t>规定。</w:t>
      </w:r>
    </w:p>
    <w:p w14:paraId="04F3DDE6">
      <w:pPr>
        <w:pStyle w:val="4"/>
        <w:pageBreakBefore w:val="0"/>
        <w:wordWrap/>
        <w:overflowPunct/>
        <w:topLinePunct w:val="0"/>
        <w:bidi w:val="0"/>
        <w:spacing w:line="560" w:lineRule="exact"/>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综合上述分析，此项指标分值2分，实际得分2分。</w:t>
      </w:r>
    </w:p>
    <w:p w14:paraId="7B40832B">
      <w:pPr>
        <w:pStyle w:val="4"/>
        <w:pageBreakBefore w:val="0"/>
        <w:widowControl w:val="0"/>
        <w:numPr>
          <w:ilvl w:val="0"/>
          <w:numId w:val="0"/>
        </w:numPr>
        <w:kinsoku/>
        <w:wordWrap/>
        <w:overflowPunct/>
        <w:topLinePunct w:val="0"/>
        <w:autoSpaceDE/>
        <w:autoSpaceDN/>
        <w:bidi w:val="0"/>
        <w:spacing w:line="560" w:lineRule="exact"/>
        <w:ind w:leftChars="200"/>
        <w:textAlignment w:val="auto"/>
        <w:outlineLvl w:val="2"/>
        <w:rPr>
          <w:rFonts w:hint="default"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（2）整改反馈</w:t>
      </w:r>
    </w:p>
    <w:p w14:paraId="02B89D3C">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①结果整改</w:t>
      </w:r>
    </w:p>
    <w:p w14:paraId="6CF9AE5E">
      <w:pPr>
        <w:pStyle w:val="4"/>
        <w:pageBreakBefore w:val="0"/>
        <w:widowControl w:val="0"/>
        <w:numPr>
          <w:ilvl w:val="0"/>
          <w:numId w:val="0"/>
        </w:numPr>
        <w:kinsoku/>
        <w:wordWrap/>
        <w:overflowPunct/>
        <w:topLinePunct w:val="0"/>
        <w:autoSpaceDE/>
        <w:autoSpaceDN/>
        <w:bidi w:val="0"/>
        <w:spacing w:line="560" w:lineRule="exact"/>
        <w:ind w:leftChars="0" w:firstLine="640" w:firstLineChars="200"/>
        <w:textAlignment w:val="auto"/>
        <w:outlineLvl w:val="9"/>
        <w:rPr>
          <w:rFonts w:hint="eastAsia"/>
          <w:highlight w:val="none"/>
          <w:lang w:val="en-US" w:eastAsia="zh-CN"/>
        </w:rPr>
      </w:pPr>
      <w:r>
        <w:rPr>
          <w:rFonts w:hint="eastAsia"/>
          <w:highlight w:val="none"/>
          <w:lang w:val="en-US" w:eastAsia="zh-CN"/>
        </w:rPr>
        <w:t>房征中心</w:t>
      </w:r>
      <w:r>
        <w:rPr>
          <w:rFonts w:hint="eastAsia"/>
          <w:highlight w:val="none"/>
          <w:lang w:val="en-US"/>
        </w:rPr>
        <w:t>针对绩效管理过程中（包括绩效目标核查、绩效监控核查和重点绩效评价）提出的问题进行了相应的整改，并将绩效管理结果用于完善政策、改进管理、预算挂钩等相关程序中</w:t>
      </w:r>
      <w:r>
        <w:rPr>
          <w:rFonts w:hint="eastAsia"/>
          <w:highlight w:val="none"/>
          <w:lang w:val="en-US" w:eastAsia="zh-CN"/>
        </w:rPr>
        <w:t>。</w:t>
      </w:r>
    </w:p>
    <w:p w14:paraId="57B858FF">
      <w:pPr>
        <w:pStyle w:val="4"/>
        <w:pageBreakBefore w:val="0"/>
        <w:wordWrap/>
        <w:overflowPunct/>
        <w:topLinePunct w:val="0"/>
        <w:bidi w:val="0"/>
        <w:spacing w:line="560" w:lineRule="exact"/>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综合上述分析，此项指标分值4分，实际得分4分。</w:t>
      </w:r>
    </w:p>
    <w:p w14:paraId="6C324FF6">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②应用反馈</w:t>
      </w:r>
    </w:p>
    <w:p w14:paraId="7CA95765">
      <w:pPr>
        <w:pStyle w:val="4"/>
        <w:pageBreakBefore w:val="0"/>
        <w:wordWrap/>
        <w:overflowPunct/>
        <w:topLinePunct w:val="0"/>
        <w:bidi w:val="0"/>
        <w:spacing w:line="560" w:lineRule="exact"/>
        <w:rPr>
          <w:rFonts w:hint="eastAsia"/>
          <w:highlight w:val="none"/>
          <w:lang w:val="zh-CN"/>
        </w:rPr>
      </w:pPr>
      <w:r>
        <w:rPr>
          <w:rFonts w:hint="eastAsia"/>
          <w:highlight w:val="none"/>
          <w:lang w:val="zh-CN"/>
        </w:rPr>
        <w:t>经评价组现场访谈及核查，</w:t>
      </w:r>
      <w:r>
        <w:rPr>
          <w:rFonts w:hint="eastAsia"/>
          <w:highlight w:val="none"/>
          <w:lang w:val="en-US" w:eastAsia="zh-CN"/>
        </w:rPr>
        <w:t>房征中心</w:t>
      </w:r>
      <w:r>
        <w:rPr>
          <w:rFonts w:hint="eastAsia"/>
          <w:highlight w:val="none"/>
          <w:lang w:val="zh-CN"/>
        </w:rPr>
        <w:t>在20</w:t>
      </w:r>
      <w:r>
        <w:rPr>
          <w:rFonts w:hint="eastAsia"/>
          <w:highlight w:val="none"/>
          <w:lang w:val="en-US" w:eastAsia="zh-CN"/>
        </w:rPr>
        <w:t>20</w:t>
      </w:r>
      <w:r>
        <w:rPr>
          <w:rFonts w:hint="eastAsia"/>
          <w:highlight w:val="none"/>
          <w:lang w:val="zh-CN"/>
        </w:rPr>
        <w:t>年部门整体绩效结果报告中提出单位</w:t>
      </w:r>
      <w:r>
        <w:rPr>
          <w:rFonts w:hint="eastAsia"/>
          <w:highlight w:val="none"/>
          <w:lang w:val="en-US" w:eastAsia="zh-CN"/>
        </w:rPr>
        <w:t>继续</w:t>
      </w:r>
      <w:r>
        <w:rPr>
          <w:rFonts w:hint="eastAsia"/>
          <w:highlight w:val="none"/>
          <w:lang w:val="zh-CN"/>
        </w:rPr>
        <w:t>积极学习相关知识，不停的提高业务水平，丰富业务能力。同时，加强法律法规的学习，时刻规范财务人员的工作行为，提高财务人员的综合素质。</w:t>
      </w:r>
    </w:p>
    <w:p w14:paraId="1E471886">
      <w:pPr>
        <w:pStyle w:val="4"/>
        <w:pageBreakBefore w:val="0"/>
        <w:wordWrap/>
        <w:overflowPunct/>
        <w:topLinePunct w:val="0"/>
        <w:bidi w:val="0"/>
        <w:spacing w:line="560" w:lineRule="exact"/>
        <w:rPr>
          <w:rFonts w:hint="default" w:eastAsia="仿宋_GB2312"/>
          <w:highlight w:val="none"/>
          <w:lang w:val="en-US" w:eastAsia="zh-CN"/>
        </w:rPr>
      </w:pPr>
      <w:r>
        <w:rPr>
          <w:rFonts w:hint="eastAsia"/>
          <w:highlight w:val="none"/>
          <w:lang w:val="en-US" w:eastAsia="zh-CN"/>
        </w:rPr>
        <w:t>2021年期间，单位多次自主学习及参加培训，不断提高业务水平和财务管理水平。</w:t>
      </w:r>
    </w:p>
    <w:p w14:paraId="47D5ECE8">
      <w:pPr>
        <w:pStyle w:val="4"/>
        <w:pageBreakBefore w:val="0"/>
        <w:wordWrap/>
        <w:overflowPunct/>
        <w:topLinePunct w:val="0"/>
        <w:bidi w:val="0"/>
        <w:spacing w:line="560" w:lineRule="exact"/>
        <w:rPr>
          <w:rFonts w:hint="default"/>
          <w:highlight w:val="none"/>
          <w:lang w:val="en-US" w:eastAsia="zh-CN"/>
        </w:rPr>
      </w:pPr>
      <w:r>
        <w:rPr>
          <w:rFonts w:hint="eastAsia"/>
          <w:color w:val="000000" w:themeColor="text1"/>
          <w:highlight w:val="none"/>
          <w:lang w:val="en-US" w:eastAsia="zh-CN"/>
          <w14:textFill>
            <w14:solidFill>
              <w14:schemeClr w14:val="tx1"/>
            </w14:solidFill>
          </w14:textFill>
        </w:rPr>
        <w:t>综合上述分析，此项指标分值4分，实际得分4分。</w:t>
      </w:r>
    </w:p>
    <w:p w14:paraId="77670B7D">
      <w:pPr>
        <w:pStyle w:val="4"/>
        <w:pageBreakBefore w:val="0"/>
        <w:widowControl w:val="0"/>
        <w:numPr>
          <w:ilvl w:val="-1"/>
          <w:numId w:val="0"/>
        </w:numPr>
        <w:kinsoku/>
        <w:wordWrap/>
        <w:overflowPunct/>
        <w:topLinePunct w:val="0"/>
        <w:autoSpaceDE/>
        <w:autoSpaceDN/>
        <w:bidi w:val="0"/>
        <w:spacing w:line="560" w:lineRule="exact"/>
        <w:ind w:left="0" w:leftChars="0" w:firstLine="643" w:firstLineChars="200"/>
        <w:textAlignment w:val="auto"/>
        <w:outlineLvl w:val="2"/>
        <w:rPr>
          <w:rFonts w:hint="default"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3.自评质量</w:t>
      </w:r>
    </w:p>
    <w:p w14:paraId="0AAE7EE1">
      <w:pPr>
        <w:pStyle w:val="4"/>
        <w:pageBreakBefore w:val="0"/>
        <w:widowControl w:val="0"/>
        <w:numPr>
          <w:ilvl w:val="0"/>
          <w:numId w:val="0"/>
        </w:numPr>
        <w:kinsoku/>
        <w:wordWrap/>
        <w:overflowPunct/>
        <w:topLinePunct w:val="0"/>
        <w:autoSpaceDE/>
        <w:autoSpaceDN/>
        <w:bidi w:val="0"/>
        <w:spacing w:line="560" w:lineRule="exact"/>
        <w:ind w:leftChars="200"/>
        <w:textAlignment w:val="auto"/>
        <w:outlineLvl w:val="2"/>
        <w:rPr>
          <w:rFonts w:hint="default"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（3）自评质量</w:t>
      </w:r>
    </w:p>
    <w:p w14:paraId="47A517DA">
      <w:pPr>
        <w:pStyle w:val="4"/>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outlineLvl w:val="9"/>
        <w:rPr>
          <w:rFonts w:hint="eastAsia" w:ascii="Times New Roman" w:hAnsi="Times New Roman" w:cs="Times New Roman"/>
          <w:b/>
          <w:bCs/>
          <w:color w:val="auto"/>
          <w:szCs w:val="32"/>
          <w:lang w:val="en-US" w:eastAsia="zh-CN"/>
        </w:rPr>
      </w:pPr>
      <w:r>
        <w:rPr>
          <w:rFonts w:hint="eastAsia" w:ascii="Times New Roman" w:hAnsi="Times New Roman" w:cs="Times New Roman"/>
          <w:b/>
          <w:bCs/>
          <w:color w:val="auto"/>
          <w:szCs w:val="32"/>
          <w:lang w:val="en-US" w:eastAsia="zh-CN"/>
        </w:rPr>
        <w:t>①自评准确</w:t>
      </w:r>
    </w:p>
    <w:p w14:paraId="7CEF0561">
      <w:pPr>
        <w:pStyle w:val="4"/>
        <w:pageBreakBefore w:val="0"/>
        <w:wordWrap/>
        <w:overflowPunct/>
        <w:topLinePunct w:val="0"/>
        <w:bidi w:val="0"/>
        <w:spacing w:line="560" w:lineRule="exact"/>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2021年</w:t>
      </w:r>
      <w:r>
        <w:rPr>
          <w:rFonts w:hint="eastAsia" w:cs="Times New Roman"/>
          <w:highlight w:val="none"/>
          <w:lang w:val="en-US" w:eastAsia="zh-CN"/>
        </w:rPr>
        <w:t>房征中心</w:t>
      </w:r>
      <w:r>
        <w:rPr>
          <w:rFonts w:hint="eastAsia" w:ascii="Times New Roman" w:hAnsi="Times New Roman" w:cs="Times New Roman"/>
          <w:highlight w:val="none"/>
          <w:lang w:val="en-US" w:eastAsia="zh-CN"/>
        </w:rPr>
        <w:t>自评为</w:t>
      </w:r>
      <w:r>
        <w:rPr>
          <w:rFonts w:hint="eastAsia" w:cs="Times New Roman"/>
          <w:highlight w:val="none"/>
          <w:lang w:val="en-US" w:eastAsia="zh-CN"/>
        </w:rPr>
        <w:t>90</w:t>
      </w:r>
      <w:r>
        <w:rPr>
          <w:rFonts w:hint="eastAsia" w:ascii="Times New Roman" w:hAnsi="Times New Roman" w:cs="Times New Roman"/>
          <w:highlight w:val="none"/>
          <w:lang w:val="en-US" w:eastAsia="zh-CN"/>
        </w:rPr>
        <w:t>分，评价组评分为</w:t>
      </w:r>
      <w:r>
        <w:rPr>
          <w:rFonts w:hint="eastAsia" w:cs="Times New Roman"/>
          <w:highlight w:val="none"/>
          <w:lang w:val="en-US" w:eastAsia="zh-CN"/>
        </w:rPr>
        <w:t>76.81</w:t>
      </w:r>
      <w:r>
        <w:rPr>
          <w:rFonts w:hint="eastAsia" w:ascii="Times New Roman" w:hAnsi="Times New Roman" w:cs="Times New Roman"/>
          <w:highlight w:val="none"/>
          <w:lang w:val="en-US" w:eastAsia="zh-CN"/>
        </w:rPr>
        <w:t>分，差异为</w:t>
      </w:r>
      <w:r>
        <w:rPr>
          <w:rFonts w:hint="eastAsia" w:cs="Times New Roman"/>
          <w:highlight w:val="none"/>
          <w:lang w:val="en-US" w:eastAsia="zh-CN"/>
        </w:rPr>
        <w:t>13.19</w:t>
      </w:r>
      <w:r>
        <w:rPr>
          <w:rFonts w:hint="eastAsia" w:ascii="Times New Roman" w:hAnsi="Times New Roman" w:cs="Times New Roman"/>
          <w:highlight w:val="none"/>
          <w:lang w:val="en-US" w:eastAsia="zh-CN"/>
        </w:rPr>
        <w:t>%，在10%-20%</w:t>
      </w:r>
      <w:r>
        <w:rPr>
          <w:rFonts w:hint="eastAsia" w:cs="Times New Roman"/>
          <w:highlight w:val="none"/>
          <w:lang w:val="en-US" w:eastAsia="zh-CN"/>
        </w:rPr>
        <w:t>之间，</w:t>
      </w:r>
      <w:r>
        <w:rPr>
          <w:rFonts w:hint="eastAsia" w:ascii="Times New Roman" w:hAnsi="Times New Roman" w:cs="Times New Roman"/>
          <w:highlight w:val="none"/>
          <w:lang w:val="en-US" w:eastAsia="zh-CN"/>
        </w:rPr>
        <w:t>自评质量</w:t>
      </w:r>
      <w:r>
        <w:rPr>
          <w:rFonts w:hint="eastAsia" w:cs="Times New Roman"/>
          <w:highlight w:val="none"/>
          <w:lang w:val="en-US" w:eastAsia="zh-CN"/>
        </w:rPr>
        <w:t>一般</w:t>
      </w:r>
      <w:r>
        <w:rPr>
          <w:rFonts w:hint="eastAsia" w:ascii="Times New Roman" w:hAnsi="Times New Roman" w:cs="Times New Roman"/>
          <w:highlight w:val="none"/>
          <w:lang w:val="en-US" w:eastAsia="zh-CN"/>
        </w:rPr>
        <w:t>。</w:t>
      </w:r>
    </w:p>
    <w:p w14:paraId="541438AC">
      <w:pPr>
        <w:pStyle w:val="4"/>
        <w:pageBreakBefore w:val="0"/>
        <w:wordWrap/>
        <w:overflowPunct/>
        <w:topLinePunct w:val="0"/>
        <w:bidi w:val="0"/>
        <w:spacing w:line="560" w:lineRule="exact"/>
        <w:rPr>
          <w:rFonts w:hint="eastAsia" w:ascii="Times New Roman" w:hAnsi="Times New Roman" w:cs="Times New Roman"/>
          <w:highlight w:val="none"/>
          <w:lang w:val="en-US" w:eastAsia="zh-CN"/>
        </w:rPr>
      </w:pPr>
      <w:r>
        <w:rPr>
          <w:rFonts w:hint="eastAsia"/>
          <w:color w:val="000000" w:themeColor="text1"/>
          <w:highlight w:val="none"/>
          <w:lang w:val="en-US" w:eastAsia="zh-CN"/>
          <w14:textFill>
            <w14:solidFill>
              <w14:schemeClr w14:val="tx1"/>
            </w14:solidFill>
          </w14:textFill>
        </w:rPr>
        <w:t>综合上述分析，此项指标分值10分，实际得分2分，扣8分。</w:t>
      </w:r>
    </w:p>
    <w:p w14:paraId="0F92705D">
      <w:pPr>
        <w:pStyle w:val="3"/>
        <w:pageBreakBefore w:val="0"/>
        <w:numPr>
          <w:ilvl w:val="0"/>
          <w:numId w:val="0"/>
        </w:numPr>
        <w:kinsoku/>
        <w:wordWrap/>
        <w:overflowPunct/>
        <w:topLinePunct w:val="0"/>
        <w:autoSpaceDE/>
        <w:autoSpaceDN/>
        <w:bidi w:val="0"/>
        <w:spacing w:line="560" w:lineRule="exact"/>
        <w:ind w:left="0" w:leftChars="0" w:firstLine="640" w:firstLineChars="200"/>
        <w:outlineLvl w:val="0"/>
        <w:rPr>
          <w:rFonts w:hint="default"/>
          <w:color w:val="auto"/>
          <w:lang w:val="en-US"/>
        </w:rPr>
      </w:pPr>
      <w:r>
        <w:rPr>
          <w:rFonts w:hint="eastAsia"/>
          <w:color w:val="auto"/>
          <w:lang w:val="en-US" w:eastAsia="zh-CN"/>
        </w:rPr>
        <w:t>七、</w:t>
      </w:r>
      <w:r>
        <w:rPr>
          <w:rFonts w:hint="eastAsia"/>
          <w:color w:val="auto"/>
        </w:rPr>
        <w:t>存在问题</w:t>
      </w:r>
      <w:r>
        <w:rPr>
          <w:rFonts w:hint="eastAsia"/>
          <w:color w:val="auto"/>
          <w:lang w:val="en-US" w:eastAsia="zh-CN"/>
        </w:rPr>
        <w:t>及改进措施</w:t>
      </w:r>
    </w:p>
    <w:p w14:paraId="652BD2B4">
      <w:pPr>
        <w:pStyle w:val="4"/>
        <w:pageBreakBefore w:val="0"/>
        <w:widowControl w:val="0"/>
        <w:kinsoku/>
        <w:wordWrap/>
        <w:overflowPunct/>
        <w:topLinePunct w:val="0"/>
        <w:autoSpaceDE/>
        <w:autoSpaceDN/>
        <w:bidi w:val="0"/>
        <w:spacing w:line="560" w:lineRule="exact"/>
        <w:ind w:left="0" w:leftChars="0" w:firstLine="643" w:firstLineChars="200"/>
        <w:textAlignment w:val="auto"/>
        <w:outlineLvl w:val="1"/>
        <w:rPr>
          <w:rFonts w:hint="eastAsia" w:ascii="楷体" w:hAnsi="楷体" w:eastAsia="楷体" w:cs="楷体"/>
          <w:b/>
          <w:bCs/>
          <w:color w:val="auto"/>
          <w:lang w:val="en-US" w:eastAsia="zh-CN"/>
        </w:rPr>
      </w:pPr>
      <w:r>
        <w:rPr>
          <w:rFonts w:hint="eastAsia" w:ascii="楷体" w:hAnsi="楷体" w:eastAsia="楷体" w:cs="楷体"/>
          <w:b/>
          <w:bCs/>
          <w:color w:val="auto"/>
          <w:lang w:val="en-US" w:eastAsia="zh-CN"/>
        </w:rPr>
        <w:t>（一）存在问题及原因分析</w:t>
      </w:r>
    </w:p>
    <w:p w14:paraId="21AA1184">
      <w:pPr>
        <w:pStyle w:val="4"/>
        <w:pageBreakBefore w:val="0"/>
        <w:widowControl w:val="0"/>
        <w:numPr>
          <w:ilvl w:val="-1"/>
          <w:numId w:val="0"/>
        </w:numPr>
        <w:kinsoku/>
        <w:wordWrap/>
        <w:overflowPunct/>
        <w:topLinePunct w:val="0"/>
        <w:autoSpaceDE/>
        <w:autoSpaceDN/>
        <w:bidi w:val="0"/>
        <w:spacing w:line="560" w:lineRule="exact"/>
        <w:ind w:left="0" w:leftChars="0" w:firstLine="643" w:firstLineChars="200"/>
        <w:textAlignment w:val="auto"/>
        <w:outlineLvl w:val="2"/>
        <w:rPr>
          <w:rFonts w:hint="default"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1.预算调整偏差控制情况欠佳</w:t>
      </w:r>
    </w:p>
    <w:p w14:paraId="69BC45D5">
      <w:pPr>
        <w:pStyle w:val="4"/>
        <w:pageBreakBefore w:val="0"/>
        <w:wordWrap/>
        <w:overflowPunct/>
        <w:topLinePunct w:val="0"/>
        <w:bidi w:val="0"/>
        <w:spacing w:line="560" w:lineRule="exact"/>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14:textFill>
            <w14:solidFill>
              <w14:schemeClr w14:val="tx1"/>
            </w14:solidFill>
          </w14:textFill>
        </w:rPr>
        <w:t>单位202</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lang w:val="en-US"/>
          <w14:textFill>
            <w14:solidFill>
              <w14:schemeClr w14:val="tx1"/>
            </w14:solidFill>
          </w14:textFill>
        </w:rPr>
        <w:t>年预算数为</w:t>
      </w:r>
      <w:r>
        <w:rPr>
          <w:rFonts w:hint="eastAsia"/>
          <w:color w:val="auto"/>
          <w:szCs w:val="32"/>
          <w:highlight w:val="none"/>
          <w:lang w:val="en-US" w:eastAsia="zh-CN"/>
        </w:rPr>
        <w:t>251.15</w:t>
      </w:r>
      <w:r>
        <w:rPr>
          <w:rFonts w:hint="eastAsia"/>
          <w:color w:val="000000" w:themeColor="text1"/>
          <w:highlight w:val="none"/>
          <w:lang w:val="en-US"/>
          <w14:textFill>
            <w14:solidFill>
              <w14:schemeClr w14:val="tx1"/>
            </w14:solidFill>
          </w14:textFill>
        </w:rPr>
        <w:t>万元，</w:t>
      </w:r>
      <w:r>
        <w:rPr>
          <w:rFonts w:hint="eastAsia"/>
          <w:color w:val="000000" w:themeColor="text1"/>
          <w:highlight w:val="none"/>
          <w:lang w:val="en-US" w:eastAsia="zh-CN"/>
          <w14:textFill>
            <w14:solidFill>
              <w14:schemeClr w14:val="tx1"/>
            </w14:solidFill>
          </w14:textFill>
        </w:rPr>
        <w:t>调整预算为</w:t>
      </w:r>
      <w:r>
        <w:rPr>
          <w:rFonts w:hint="eastAsia"/>
          <w:color w:val="auto"/>
          <w:szCs w:val="32"/>
          <w:highlight w:val="none"/>
          <w:lang w:val="en-US" w:eastAsia="zh-CN"/>
        </w:rPr>
        <w:t>222.64</w:t>
      </w:r>
      <w:r>
        <w:rPr>
          <w:rFonts w:hint="eastAsia"/>
          <w:color w:val="000000" w:themeColor="text1"/>
          <w:highlight w:val="none"/>
          <w:lang w:val="en-US" w:eastAsia="zh-CN"/>
          <w14:textFill>
            <w14:solidFill>
              <w14:schemeClr w14:val="tx1"/>
            </w14:solidFill>
          </w14:textFill>
        </w:rPr>
        <w:t>万元，偏差程度为11.35%，偏差率较大，预算编制不准确。</w:t>
      </w:r>
    </w:p>
    <w:p w14:paraId="4360D3A0">
      <w:pPr>
        <w:pStyle w:val="4"/>
        <w:pageBreakBefore w:val="0"/>
        <w:widowControl w:val="0"/>
        <w:numPr>
          <w:ilvl w:val="-1"/>
          <w:numId w:val="0"/>
        </w:numPr>
        <w:kinsoku/>
        <w:wordWrap/>
        <w:overflowPunct/>
        <w:topLinePunct w:val="0"/>
        <w:autoSpaceDE/>
        <w:autoSpaceDN/>
        <w:bidi w:val="0"/>
        <w:spacing w:line="560" w:lineRule="exact"/>
        <w:ind w:left="0" w:leftChars="0" w:firstLine="643" w:firstLineChars="200"/>
        <w:textAlignment w:val="auto"/>
        <w:outlineLvl w:val="2"/>
        <w:rPr>
          <w:rFonts w:hint="default"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2.预算执行率有偏离</w:t>
      </w:r>
    </w:p>
    <w:p w14:paraId="4F84DA39">
      <w:pPr>
        <w:pStyle w:val="4"/>
        <w:pageBreakBefore w:val="0"/>
        <w:wordWrap/>
        <w:overflowPunct/>
        <w:topLinePunct w:val="0"/>
        <w:bidi w:val="0"/>
        <w:spacing w:line="560" w:lineRule="exact"/>
        <w:rPr>
          <w:rFonts w:hint="eastAsia"/>
          <w:highlight w:val="none"/>
        </w:rPr>
      </w:pPr>
      <w:r>
        <w:rPr>
          <w:rFonts w:hint="eastAsia"/>
          <w:highlight w:val="none"/>
          <w:lang w:val="en-US" w:eastAsia="zh-CN"/>
        </w:rPr>
        <w:t>单位</w:t>
      </w:r>
      <w:r>
        <w:rPr>
          <w:rFonts w:hint="eastAsia"/>
          <w:highlight w:val="none"/>
          <w:lang w:val="en-US"/>
        </w:rPr>
        <w:t>9</w:t>
      </w:r>
      <w:r>
        <w:rPr>
          <w:rFonts w:hint="eastAsia"/>
          <w:highlight w:val="none"/>
        </w:rPr>
        <w:t>月、11月预算执行进度</w:t>
      </w:r>
      <w:r>
        <w:rPr>
          <w:highlight w:val="none"/>
        </w:rPr>
        <w:t>分</w:t>
      </w:r>
      <w:r>
        <w:rPr>
          <w:rFonts w:hint="eastAsia"/>
          <w:highlight w:val="none"/>
          <w:lang w:val="en-US" w:eastAsia="zh-CN"/>
        </w:rPr>
        <w:t>别为65.32</w:t>
      </w:r>
      <w:r>
        <w:rPr>
          <w:rFonts w:hint="eastAsia"/>
          <w:highlight w:val="none"/>
        </w:rPr>
        <w:t>%、</w:t>
      </w:r>
      <w:r>
        <w:rPr>
          <w:rFonts w:hint="eastAsia"/>
          <w:highlight w:val="none"/>
          <w:lang w:val="en-US" w:eastAsia="zh-CN"/>
        </w:rPr>
        <w:t>73.40</w:t>
      </w:r>
      <w:r>
        <w:rPr>
          <w:rFonts w:hint="eastAsia"/>
          <w:highlight w:val="none"/>
        </w:rPr>
        <w:t>%（实际支出</w:t>
      </w:r>
      <w:r>
        <w:rPr>
          <w:rFonts w:hint="eastAsia"/>
          <w:highlight w:val="none"/>
          <w:lang w:val="en-US"/>
        </w:rPr>
        <w:t>金额</w:t>
      </w:r>
      <w:r>
        <w:rPr>
          <w:rFonts w:hint="eastAsia"/>
          <w:highlight w:val="none"/>
        </w:rPr>
        <w:t>分别</w:t>
      </w:r>
      <w:r>
        <w:rPr>
          <w:rFonts w:hint="eastAsia"/>
          <w:highlight w:val="none"/>
          <w:lang w:val="en-US" w:eastAsia="zh-CN"/>
        </w:rPr>
        <w:t>为166.67</w:t>
      </w:r>
      <w:r>
        <w:rPr>
          <w:rFonts w:hint="eastAsia"/>
          <w:highlight w:val="none"/>
        </w:rPr>
        <w:t>万元、</w:t>
      </w:r>
      <w:r>
        <w:rPr>
          <w:rFonts w:hint="eastAsia"/>
          <w:highlight w:val="none"/>
          <w:lang w:val="en-US" w:eastAsia="zh-CN"/>
        </w:rPr>
        <w:t>187.28</w:t>
      </w:r>
      <w:r>
        <w:rPr>
          <w:rFonts w:hint="eastAsia"/>
          <w:highlight w:val="none"/>
        </w:rPr>
        <w:t>万元），实际支出进度</w:t>
      </w:r>
      <w:r>
        <w:rPr>
          <w:rFonts w:hint="eastAsia"/>
          <w:highlight w:val="none"/>
          <w:lang w:val="en-US" w:eastAsia="zh-CN"/>
        </w:rPr>
        <w:t>未</w:t>
      </w:r>
      <w:r>
        <w:rPr>
          <w:rFonts w:hint="eastAsia"/>
          <w:highlight w:val="none"/>
        </w:rPr>
        <w:t>达到67.5%、82.5%，</w:t>
      </w:r>
      <w:r>
        <w:rPr>
          <w:rFonts w:hint="eastAsia"/>
          <w:highlight w:val="none"/>
          <w:lang w:val="en-US"/>
        </w:rPr>
        <w:t>预算</w:t>
      </w:r>
      <w:r>
        <w:rPr>
          <w:rFonts w:hint="eastAsia"/>
          <w:highlight w:val="none"/>
        </w:rPr>
        <w:t>执行进度完成</w:t>
      </w:r>
      <w:r>
        <w:rPr>
          <w:rFonts w:hint="eastAsia"/>
          <w:highlight w:val="none"/>
          <w:lang w:val="en-US" w:eastAsia="zh-CN"/>
        </w:rPr>
        <w:t>情况有待进一步提升</w:t>
      </w:r>
      <w:r>
        <w:rPr>
          <w:rFonts w:hint="eastAsia"/>
          <w:highlight w:val="none"/>
        </w:rPr>
        <w:t>。</w:t>
      </w:r>
    </w:p>
    <w:p w14:paraId="286F6AD2">
      <w:pPr>
        <w:pageBreakBefore w:val="0"/>
        <w:kinsoku/>
        <w:wordWrap/>
        <w:overflowPunct/>
        <w:topLinePunct w:val="0"/>
        <w:autoSpaceDE/>
        <w:autoSpaceDN/>
        <w:bidi w:val="0"/>
        <w:adjustRightInd w:val="0"/>
        <w:snapToGrid/>
        <w:spacing w:line="560" w:lineRule="exact"/>
        <w:ind w:firstLine="643" w:firstLineChars="200"/>
        <w:outlineLvl w:val="2"/>
        <w:rPr>
          <w:rFonts w:hint="default" w:ascii="仿宋" w:hAnsi="仿宋" w:eastAsia="仿宋" w:cs="仿宋"/>
          <w:b/>
          <w:color w:val="auto"/>
          <w:sz w:val="32"/>
          <w:szCs w:val="32"/>
          <w:lang w:val="en-US" w:eastAsia="zh-CN"/>
        </w:rPr>
      </w:pPr>
      <w:r>
        <w:rPr>
          <w:rFonts w:hint="eastAsia" w:ascii="仿宋" w:hAnsi="仿宋" w:eastAsia="仿宋" w:cs="仿宋"/>
          <w:b/>
          <w:color w:val="auto"/>
          <w:sz w:val="32"/>
          <w:szCs w:val="32"/>
          <w:lang w:val="en-US" w:eastAsia="zh-CN"/>
        </w:rPr>
        <w:t>3.会计账务处理存在不规范等问题</w:t>
      </w:r>
    </w:p>
    <w:p w14:paraId="5F76BD60">
      <w:pPr>
        <w:pStyle w:val="4"/>
        <w:pageBreakBefore w:val="0"/>
        <w:widowControl w:val="0"/>
        <w:kinsoku/>
        <w:wordWrap/>
        <w:overflowPunct/>
        <w:topLinePunct w:val="0"/>
        <w:autoSpaceDE/>
        <w:autoSpaceDN/>
        <w:bidi w:val="0"/>
        <w:spacing w:line="560" w:lineRule="exact"/>
        <w:ind w:firstLine="640" w:firstLineChars="200"/>
        <w:textAlignment w:val="auto"/>
        <w:rPr>
          <w:rFonts w:hint="default" w:ascii="仿宋_GB2312"/>
          <w:lang w:val="en-US" w:eastAsia="zh-CN"/>
        </w:rPr>
      </w:pPr>
      <w:r>
        <w:rPr>
          <w:rFonts w:hint="eastAsia" w:ascii="仿宋_GB2312"/>
          <w:lang w:val="en-US" w:eastAsia="zh-CN"/>
        </w:rPr>
        <w:t>（1）单位盘盈固定资产，未附资产价值明细表，涉及金额76,500.00元，涉及凭证为2021年1月第14号；</w:t>
      </w:r>
    </w:p>
    <w:p w14:paraId="62C5C0A6">
      <w:pPr>
        <w:pStyle w:val="4"/>
        <w:pageBreakBefore w:val="0"/>
        <w:widowControl w:val="0"/>
        <w:kinsoku/>
        <w:wordWrap/>
        <w:overflowPunct/>
        <w:topLinePunct w:val="0"/>
        <w:autoSpaceDE/>
        <w:autoSpaceDN/>
        <w:bidi w:val="0"/>
        <w:spacing w:line="560" w:lineRule="exact"/>
        <w:ind w:firstLine="640" w:firstLineChars="200"/>
        <w:textAlignment w:val="auto"/>
        <w:rPr>
          <w:rFonts w:hint="default" w:ascii="仿宋_GB2312"/>
          <w:lang w:val="en-US" w:eastAsia="zh-CN"/>
        </w:rPr>
      </w:pPr>
      <w:r>
        <w:rPr>
          <w:rFonts w:hint="eastAsia" w:ascii="仿宋_GB2312"/>
          <w:lang w:val="en-US" w:eastAsia="zh-CN"/>
        </w:rPr>
        <w:t>（2）单位支米建九、十月、十一月电话费，电话费增加，未附增加文件标准，涉及金额1,110.00元，涉及凭证为2021年11月第4号、11月第6号、12月第8号；</w:t>
      </w:r>
    </w:p>
    <w:p w14:paraId="3C44062B">
      <w:pPr>
        <w:pStyle w:val="4"/>
        <w:pageBreakBefore w:val="0"/>
        <w:widowControl w:val="0"/>
        <w:kinsoku/>
        <w:wordWrap/>
        <w:overflowPunct/>
        <w:topLinePunct w:val="0"/>
        <w:autoSpaceDE/>
        <w:autoSpaceDN/>
        <w:bidi w:val="0"/>
        <w:spacing w:line="560" w:lineRule="exact"/>
        <w:ind w:firstLine="640" w:firstLineChars="200"/>
        <w:textAlignment w:val="auto"/>
        <w:rPr>
          <w:rFonts w:hint="eastAsia" w:ascii="仿宋_GB2312"/>
          <w:lang w:val="en-US" w:eastAsia="zh-CN"/>
        </w:rPr>
      </w:pPr>
      <w:r>
        <w:rPr>
          <w:rFonts w:hint="eastAsia" w:ascii="仿宋_GB2312"/>
          <w:lang w:val="en-US" w:eastAsia="zh-CN"/>
        </w:rPr>
        <w:t>（3）单位支工作证及文件制作费，后附空白文件且合同未签字盖章，涉及金额3,700.00元，涉及凭证为2021年12月第10号；</w:t>
      </w:r>
    </w:p>
    <w:p w14:paraId="37070B91">
      <w:pPr>
        <w:pStyle w:val="4"/>
        <w:pageBreakBefore w:val="0"/>
        <w:widowControl w:val="0"/>
        <w:kinsoku/>
        <w:wordWrap/>
        <w:overflowPunct/>
        <w:topLinePunct w:val="0"/>
        <w:autoSpaceDE/>
        <w:autoSpaceDN/>
        <w:bidi w:val="0"/>
        <w:spacing w:line="560" w:lineRule="exact"/>
        <w:ind w:firstLine="640" w:firstLineChars="200"/>
        <w:textAlignment w:val="auto"/>
        <w:rPr>
          <w:rFonts w:hint="default" w:ascii="仿宋_GB2312"/>
          <w:lang w:val="en-US" w:eastAsia="zh-CN"/>
        </w:rPr>
      </w:pPr>
      <w:r>
        <w:rPr>
          <w:rFonts w:hint="eastAsia" w:ascii="仿宋_GB2312"/>
          <w:lang w:val="en-US" w:eastAsia="zh-CN"/>
        </w:rPr>
        <w:t>（4）单位支工作人员加班补贴，未附加班人员统计表，涉及金额9,271.00元，涉及凭证为2021年12月第12号。</w:t>
      </w:r>
    </w:p>
    <w:p w14:paraId="54E69E90">
      <w:pPr>
        <w:pStyle w:val="4"/>
        <w:pageBreakBefore w:val="0"/>
        <w:widowControl w:val="0"/>
        <w:kinsoku/>
        <w:wordWrap/>
        <w:overflowPunct/>
        <w:topLinePunct w:val="0"/>
        <w:autoSpaceDE/>
        <w:autoSpaceDN/>
        <w:bidi w:val="0"/>
        <w:spacing w:line="560" w:lineRule="exact"/>
        <w:ind w:left="0" w:leftChars="0" w:firstLine="643" w:firstLineChars="200"/>
        <w:textAlignment w:val="auto"/>
        <w:outlineLvl w:val="1"/>
        <w:rPr>
          <w:rFonts w:hint="eastAsia" w:ascii="楷体" w:hAnsi="楷体" w:eastAsia="楷体" w:cs="楷体"/>
          <w:b/>
          <w:bCs/>
          <w:color w:val="auto"/>
          <w:lang w:val="en-US" w:eastAsia="zh-CN"/>
        </w:rPr>
      </w:pPr>
      <w:r>
        <w:rPr>
          <w:rFonts w:hint="eastAsia" w:ascii="楷体" w:hAnsi="楷体" w:eastAsia="楷体" w:cs="楷体"/>
          <w:b/>
          <w:bCs/>
          <w:color w:val="auto"/>
          <w:lang w:eastAsia="zh-CN"/>
        </w:rPr>
        <w:t>（</w:t>
      </w:r>
      <w:r>
        <w:rPr>
          <w:rFonts w:hint="eastAsia" w:ascii="楷体" w:hAnsi="楷体" w:eastAsia="楷体" w:cs="楷体"/>
          <w:b/>
          <w:bCs/>
          <w:color w:val="auto"/>
          <w:lang w:val="en-US" w:eastAsia="zh-CN"/>
        </w:rPr>
        <w:t>二</w:t>
      </w:r>
      <w:r>
        <w:rPr>
          <w:rFonts w:hint="eastAsia" w:ascii="楷体" w:hAnsi="楷体" w:eastAsia="楷体" w:cs="楷体"/>
          <w:b/>
          <w:bCs/>
          <w:color w:val="auto"/>
          <w:lang w:eastAsia="zh-CN"/>
        </w:rPr>
        <w:t>）</w:t>
      </w:r>
      <w:r>
        <w:rPr>
          <w:rFonts w:hint="eastAsia" w:ascii="楷体" w:hAnsi="楷体" w:eastAsia="楷体" w:cs="楷体"/>
          <w:b/>
          <w:bCs/>
          <w:color w:val="auto"/>
          <w:lang w:val="en-US" w:eastAsia="zh-CN"/>
        </w:rPr>
        <w:t>改进方向和具体措施</w:t>
      </w:r>
    </w:p>
    <w:p w14:paraId="71C1EF2C">
      <w:pPr>
        <w:pageBreakBefore w:val="0"/>
        <w:kinsoku/>
        <w:wordWrap/>
        <w:overflowPunct/>
        <w:topLinePunct w:val="0"/>
        <w:autoSpaceDE/>
        <w:autoSpaceDN/>
        <w:bidi w:val="0"/>
        <w:adjustRightInd w:val="0"/>
        <w:snapToGrid/>
        <w:spacing w:line="560" w:lineRule="exact"/>
        <w:ind w:firstLine="643" w:firstLineChars="200"/>
        <w:outlineLvl w:val="2"/>
        <w:rPr>
          <w:rFonts w:hint="eastAsia" w:ascii="仿宋" w:hAnsi="仿宋" w:eastAsia="仿宋" w:cs="仿宋"/>
          <w:b/>
          <w:color w:val="auto"/>
          <w:sz w:val="32"/>
          <w:szCs w:val="32"/>
          <w:lang w:val="en-US" w:eastAsia="zh-CN"/>
        </w:rPr>
      </w:pPr>
      <w:r>
        <w:rPr>
          <w:rFonts w:hint="eastAsia" w:ascii="仿宋" w:hAnsi="仿宋" w:eastAsia="仿宋" w:cs="仿宋"/>
          <w:b/>
          <w:color w:val="auto"/>
          <w:sz w:val="32"/>
          <w:szCs w:val="32"/>
          <w:lang w:val="en-US" w:eastAsia="zh-CN"/>
        </w:rPr>
        <w:t>1.科学测算部门预算经费</w:t>
      </w:r>
    </w:p>
    <w:p w14:paraId="09FA5F58">
      <w:pPr>
        <w:pStyle w:val="4"/>
        <w:pageBreakBefore w:val="0"/>
        <w:widowControl w:val="0"/>
        <w:kinsoku/>
        <w:wordWrap/>
        <w:overflowPunct/>
        <w:topLinePunct w:val="0"/>
        <w:autoSpaceDE/>
        <w:autoSpaceDN/>
        <w:bidi w:val="0"/>
        <w:spacing w:line="560" w:lineRule="exact"/>
        <w:ind w:firstLine="640" w:firstLineChars="200"/>
        <w:textAlignment w:val="auto"/>
        <w:rPr>
          <w:rFonts w:hint="eastAsia"/>
          <w:color w:val="000000" w:themeColor="text1"/>
          <w:highlight w:val="none"/>
          <w:lang w:val="en-US"/>
          <w14:textFill>
            <w14:solidFill>
              <w14:schemeClr w14:val="tx1"/>
            </w14:solidFill>
          </w14:textFill>
        </w:rPr>
      </w:pPr>
      <w:r>
        <w:rPr>
          <w:rFonts w:hint="eastAsia"/>
          <w:color w:val="auto"/>
        </w:rPr>
        <w:t>建议</w:t>
      </w:r>
      <w:r>
        <w:rPr>
          <w:rFonts w:hint="eastAsia"/>
          <w:color w:val="auto"/>
          <w:lang w:val="en-US" w:eastAsia="zh-CN"/>
        </w:rPr>
        <w:t>房征中心预算部门在下一年编制项目预算时，</w:t>
      </w:r>
      <w:r>
        <w:rPr>
          <w:rFonts w:hint="eastAsia"/>
          <w:color w:val="000000" w:themeColor="text1"/>
          <w:highlight w:val="none"/>
          <w:lang w:val="en-US"/>
          <w14:textFill>
            <w14:solidFill>
              <w14:schemeClr w14:val="tx1"/>
            </w14:solidFill>
          </w14:textFill>
        </w:rPr>
        <w:t>科学测算经费需求、编制年度经费预算，</w:t>
      </w:r>
      <w:r>
        <w:rPr>
          <w:rFonts w:hint="eastAsia"/>
          <w:color w:val="000000" w:themeColor="text1"/>
          <w:highlight w:val="none"/>
          <w14:textFill>
            <w14:solidFill>
              <w14:schemeClr w14:val="tx1"/>
            </w14:solidFill>
          </w14:textFill>
        </w:rPr>
        <w:t>将预算资金、绩效管理有机结合，</w:t>
      </w:r>
      <w:r>
        <w:rPr>
          <w:rFonts w:hint="eastAsia"/>
          <w:color w:val="000000" w:themeColor="text1"/>
          <w:highlight w:val="none"/>
          <w:lang w:val="en-US"/>
          <w14:textFill>
            <w14:solidFill>
              <w14:schemeClr w14:val="tx1"/>
            </w14:solidFill>
          </w14:textFill>
        </w:rPr>
        <w:t>提高年初预算的编制的准确率、提高预算与目标的匹配度，更好的保障履职和各项事业发展。</w:t>
      </w:r>
    </w:p>
    <w:p w14:paraId="4C2706B3">
      <w:pPr>
        <w:pageBreakBefore w:val="0"/>
        <w:kinsoku/>
        <w:wordWrap/>
        <w:overflowPunct/>
        <w:topLinePunct w:val="0"/>
        <w:autoSpaceDE/>
        <w:autoSpaceDN/>
        <w:bidi w:val="0"/>
        <w:adjustRightInd w:val="0"/>
        <w:snapToGrid/>
        <w:spacing w:line="560" w:lineRule="exact"/>
        <w:ind w:firstLine="643" w:firstLineChars="200"/>
        <w:outlineLvl w:val="2"/>
        <w:rPr>
          <w:rFonts w:hint="eastAsia" w:ascii="仿宋" w:hAnsi="仿宋" w:eastAsia="仿宋" w:cs="仿宋"/>
          <w:b/>
          <w:color w:val="auto"/>
          <w:sz w:val="32"/>
          <w:szCs w:val="32"/>
          <w:lang w:val="en-US" w:eastAsia="zh-CN"/>
        </w:rPr>
      </w:pPr>
      <w:r>
        <w:rPr>
          <w:rFonts w:hint="eastAsia" w:ascii="仿宋" w:hAnsi="仿宋" w:eastAsia="仿宋" w:cs="仿宋"/>
          <w:b/>
          <w:color w:val="auto"/>
          <w:sz w:val="32"/>
          <w:szCs w:val="32"/>
          <w:lang w:val="en-US" w:eastAsia="zh-CN"/>
        </w:rPr>
        <w:t>2.提高部门预算项目各阶段预算执行率</w:t>
      </w:r>
    </w:p>
    <w:p w14:paraId="5DA9CDD7">
      <w:pPr>
        <w:pStyle w:val="4"/>
        <w:pageBreakBefore w:val="0"/>
        <w:widowControl w:val="0"/>
        <w:kinsoku/>
        <w:wordWrap/>
        <w:overflowPunct/>
        <w:topLinePunct w:val="0"/>
        <w:autoSpaceDE/>
        <w:autoSpaceDN/>
        <w:bidi w:val="0"/>
        <w:spacing w:line="560" w:lineRule="exact"/>
        <w:ind w:firstLine="640" w:firstLineChars="200"/>
        <w:textAlignment w:val="auto"/>
        <w:rPr>
          <w:rFonts w:hint="eastAsia" w:ascii="仿宋_GB2312"/>
          <w:lang w:val="en-US"/>
        </w:rPr>
        <w:sectPr>
          <w:pgSz w:w="11906" w:h="16838"/>
          <w:pgMar w:top="1440" w:right="1489" w:bottom="1440" w:left="1797" w:header="851" w:footer="992" w:gutter="0"/>
          <w:pgNumType w:start="1"/>
          <w:cols w:space="425" w:num="1"/>
          <w:docGrid w:type="lines" w:linePitch="312" w:charSpace="0"/>
        </w:sectPr>
      </w:pPr>
      <w:r>
        <w:rPr>
          <w:rFonts w:hint="eastAsia" w:ascii="仿宋_GB2312"/>
          <w:lang w:val="en-US"/>
        </w:rPr>
        <w:t>建议</w:t>
      </w:r>
      <w:r>
        <w:rPr>
          <w:rFonts w:hint="eastAsia"/>
          <w:color w:val="auto"/>
          <w:lang w:val="en-US" w:eastAsia="zh-CN"/>
        </w:rPr>
        <w:t>房征中心</w:t>
      </w:r>
      <w:r>
        <w:rPr>
          <w:rFonts w:ascii="仿宋_GB2312"/>
          <w:lang w:val="en-US"/>
        </w:rPr>
        <w:t>认真审核</w:t>
      </w:r>
      <w:r>
        <w:rPr>
          <w:rFonts w:hint="eastAsia" w:ascii="仿宋_GB2312"/>
          <w:lang w:val="en-US" w:eastAsia="zh-CN"/>
        </w:rPr>
        <w:t>各项目资金精准性</w:t>
      </w:r>
      <w:r>
        <w:rPr>
          <w:rFonts w:ascii="仿宋_GB2312"/>
          <w:lang w:val="en-US"/>
        </w:rPr>
        <w:t>，加快资金进度</w:t>
      </w:r>
      <w:r>
        <w:rPr>
          <w:rFonts w:hint="eastAsia" w:ascii="仿宋_GB2312"/>
          <w:lang w:val="en-US"/>
        </w:rPr>
        <w:t>，</w:t>
      </w:r>
      <w:r>
        <w:rPr>
          <w:rFonts w:hint="eastAsia" w:ascii="仿宋_GB2312"/>
          <w:lang w:val="en-US" w:eastAsia="zh-CN"/>
        </w:rPr>
        <w:t>并</w:t>
      </w:r>
      <w:r>
        <w:rPr>
          <w:rFonts w:ascii="仿宋_GB2312"/>
          <w:lang w:val="en-US"/>
        </w:rPr>
        <w:t>跟踪后续</w:t>
      </w:r>
      <w:r>
        <w:rPr>
          <w:rFonts w:hint="eastAsia" w:ascii="仿宋_GB2312"/>
          <w:lang w:val="en-US" w:eastAsia="zh-CN"/>
        </w:rPr>
        <w:t>资金补助</w:t>
      </w:r>
      <w:r>
        <w:rPr>
          <w:rFonts w:ascii="仿宋_GB2312"/>
          <w:lang w:val="en-US"/>
        </w:rPr>
        <w:t>进展</w:t>
      </w:r>
      <w:r>
        <w:rPr>
          <w:rFonts w:hint="eastAsia" w:ascii="仿宋_GB2312"/>
          <w:lang w:val="en-US" w:eastAsia="zh-CN"/>
        </w:rPr>
        <w:t>。</w:t>
      </w:r>
      <w:r>
        <w:rPr>
          <w:rFonts w:hint="eastAsia" w:ascii="仿宋_GB2312"/>
          <w:lang w:val="en-US"/>
        </w:rPr>
        <w:t>密切关注预算执行进度和质量，</w:t>
      </w:r>
      <w:r>
        <w:rPr>
          <w:rFonts w:hint="eastAsia" w:ascii="仿宋_GB2312"/>
          <w:lang w:val="en-US" w:eastAsia="zh-CN"/>
        </w:rPr>
        <w:t>及时</w:t>
      </w:r>
      <w:r>
        <w:rPr>
          <w:rFonts w:hint="eastAsia" w:ascii="仿宋_GB2312"/>
          <w:lang w:val="en-US"/>
        </w:rPr>
        <w:t>分析本部门的预算执行情况，认真剖析影响预算支出执行进度的主要原因，研究对策，加快支出。积极研究</w:t>
      </w:r>
      <w:r>
        <w:rPr>
          <w:rFonts w:hint="eastAsia" w:ascii="仿宋_GB2312"/>
          <w:lang w:val="en-US" w:eastAsia="zh-CN"/>
        </w:rPr>
        <w:t>资金按阶段支出</w:t>
      </w:r>
      <w:r>
        <w:rPr>
          <w:rFonts w:hint="eastAsia" w:ascii="仿宋_GB2312"/>
          <w:lang w:val="en-US"/>
        </w:rPr>
        <w:t>的消化问题，针对不同类型的结转资金提出具体解决方案</w:t>
      </w:r>
      <w:r>
        <w:rPr>
          <w:rFonts w:hint="eastAsia" w:ascii="仿宋_GB2312"/>
          <w:lang w:val="en-US" w:eastAsia="zh-CN"/>
        </w:rPr>
        <w:t>，</w:t>
      </w:r>
      <w:r>
        <w:rPr>
          <w:rFonts w:hint="eastAsia" w:ascii="仿宋_GB2312"/>
          <w:lang w:val="en-US"/>
        </w:rPr>
        <w:t>把执行进度作为预算安排的重要依据。</w:t>
      </w:r>
    </w:p>
    <w:p w14:paraId="6D275532">
      <w:pPr>
        <w:pStyle w:val="4"/>
        <w:pageBreakBefore w:val="0"/>
        <w:widowControl w:val="0"/>
        <w:numPr>
          <w:ilvl w:val="0"/>
          <w:numId w:val="0"/>
        </w:numPr>
        <w:kinsoku/>
        <w:wordWrap/>
        <w:overflowPunct/>
        <w:topLinePunct w:val="0"/>
        <w:autoSpaceDE/>
        <w:autoSpaceDN/>
        <w:bidi w:val="0"/>
        <w:spacing w:line="560" w:lineRule="exact"/>
        <w:ind w:firstLine="643" w:firstLineChars="200"/>
        <w:textAlignment w:val="auto"/>
        <w:outlineLvl w:val="0"/>
        <w:rPr>
          <w:rFonts w:hint="default" w:ascii="仿宋" w:hAnsi="仿宋" w:eastAsia="仿宋" w:cs="仿宋"/>
          <w:b/>
          <w:color w:val="auto"/>
          <w:kern w:val="2"/>
          <w:sz w:val="32"/>
          <w:szCs w:val="32"/>
          <w:lang w:val="en-US" w:eastAsia="zh-CN" w:bidi="ar-SA"/>
        </w:rPr>
      </w:pPr>
      <w:r>
        <w:rPr>
          <w:rFonts w:hint="eastAsia" w:ascii="仿宋" w:hAnsi="仿宋" w:eastAsia="仿宋" w:cs="仿宋"/>
          <w:b/>
          <w:color w:val="auto"/>
          <w:kern w:val="2"/>
          <w:sz w:val="32"/>
          <w:szCs w:val="32"/>
          <w:lang w:val="en-US" w:eastAsia="zh-CN" w:bidi="ar-SA"/>
        </w:rPr>
        <w:t>附件1</w:t>
      </w:r>
      <w:r>
        <w:rPr>
          <w:rFonts w:hint="default" w:ascii="方正小标宋_GBK" w:hAnsi="方正小标宋_GBK" w:eastAsia="方正小标宋_GBK" w:cs="方正小标宋_GBK"/>
          <w:i w:val="0"/>
          <w:iCs w:val="0"/>
          <w:color w:val="auto"/>
          <w:kern w:val="0"/>
          <w:sz w:val="32"/>
          <w:szCs w:val="32"/>
          <w:u w:val="none"/>
          <w:lang w:val="en-US" w:eastAsia="zh-CN" w:bidi="ar"/>
        </w:rPr>
        <w:t>部门整体支出绩效评价指标体系</w:t>
      </w:r>
    </w:p>
    <w:tbl>
      <w:tblPr>
        <w:tblStyle w:val="10"/>
        <w:tblW w:w="4997" w:type="pct"/>
        <w:tblInd w:w="0" w:type="dxa"/>
        <w:shd w:val="clear" w:color="auto" w:fill="auto"/>
        <w:tblLayout w:type="autofit"/>
        <w:tblCellMar>
          <w:top w:w="0" w:type="dxa"/>
          <w:left w:w="108" w:type="dxa"/>
          <w:bottom w:w="0" w:type="dxa"/>
          <w:right w:w="108" w:type="dxa"/>
        </w:tblCellMar>
      </w:tblPr>
      <w:tblGrid>
        <w:gridCol w:w="696"/>
        <w:gridCol w:w="696"/>
        <w:gridCol w:w="1039"/>
        <w:gridCol w:w="3261"/>
        <w:gridCol w:w="3491"/>
        <w:gridCol w:w="846"/>
        <w:gridCol w:w="920"/>
        <w:gridCol w:w="3216"/>
      </w:tblGrid>
      <w:tr w14:paraId="1B9F7EE7">
        <w:tblPrEx>
          <w:shd w:val="clear" w:color="auto" w:fill="auto"/>
          <w:tblCellMar>
            <w:top w:w="0" w:type="dxa"/>
            <w:left w:w="108" w:type="dxa"/>
            <w:bottom w:w="0" w:type="dxa"/>
            <w:right w:w="108" w:type="dxa"/>
          </w:tblCellMar>
        </w:tblPrEx>
        <w:trPr>
          <w:trHeight w:val="690" w:hRule="atLeast"/>
          <w:tblHeader/>
        </w:trPr>
        <w:tc>
          <w:tcPr>
            <w:tcW w:w="85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D0A07C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绩效指标</w:t>
            </w:r>
          </w:p>
        </w:tc>
        <w:tc>
          <w:tcPr>
            <w:tcW w:w="11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917280">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指标解释</w:t>
            </w:r>
          </w:p>
        </w:tc>
        <w:tc>
          <w:tcPr>
            <w:tcW w:w="1231" w:type="pct"/>
            <w:vMerge w:val="restart"/>
            <w:tcBorders>
              <w:top w:val="single" w:color="000000" w:sz="4" w:space="0"/>
              <w:left w:val="nil"/>
              <w:bottom w:val="single" w:color="000000" w:sz="4" w:space="0"/>
              <w:right w:val="single" w:color="000000" w:sz="4" w:space="0"/>
            </w:tcBorders>
            <w:shd w:val="clear" w:color="auto" w:fill="auto"/>
            <w:vAlign w:val="center"/>
          </w:tcPr>
          <w:p w14:paraId="3796BEF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计分标准</w:t>
            </w:r>
          </w:p>
        </w:tc>
        <w:tc>
          <w:tcPr>
            <w:tcW w:w="2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0F04E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指标分值</w:t>
            </w:r>
          </w:p>
        </w:tc>
        <w:tc>
          <w:tcPr>
            <w:tcW w:w="325" w:type="pct"/>
            <w:vMerge w:val="restart"/>
            <w:tcBorders>
              <w:top w:val="single" w:color="000000" w:sz="4" w:space="0"/>
              <w:left w:val="nil"/>
              <w:bottom w:val="single" w:color="000000" w:sz="4" w:space="0"/>
              <w:right w:val="single" w:color="000000" w:sz="4" w:space="0"/>
            </w:tcBorders>
            <w:shd w:val="clear" w:color="auto" w:fill="auto"/>
            <w:vAlign w:val="center"/>
          </w:tcPr>
          <w:p w14:paraId="1D2D59FA">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得分</w:t>
            </w:r>
          </w:p>
        </w:tc>
        <w:tc>
          <w:tcPr>
            <w:tcW w:w="1134" w:type="pct"/>
            <w:vMerge w:val="restart"/>
            <w:tcBorders>
              <w:top w:val="single" w:color="000000" w:sz="4" w:space="0"/>
              <w:left w:val="nil"/>
              <w:bottom w:val="single" w:color="000000" w:sz="4" w:space="0"/>
              <w:right w:val="single" w:color="000000" w:sz="4" w:space="0"/>
            </w:tcBorders>
            <w:shd w:val="clear" w:color="auto" w:fill="auto"/>
            <w:vAlign w:val="center"/>
          </w:tcPr>
          <w:p w14:paraId="4A2394E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扣分原因</w:t>
            </w:r>
          </w:p>
        </w:tc>
      </w:tr>
      <w:tr w14:paraId="08F7DF6B">
        <w:tblPrEx>
          <w:tblCellMar>
            <w:top w:w="0" w:type="dxa"/>
            <w:left w:w="108" w:type="dxa"/>
            <w:bottom w:w="0" w:type="dxa"/>
            <w:right w:w="108" w:type="dxa"/>
          </w:tblCellMar>
        </w:tblPrEx>
        <w:trPr>
          <w:trHeight w:val="345" w:hRule="atLeast"/>
          <w:tblHeader/>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8C25C1">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一级指标</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74C564">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二级指标</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6960C1">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三级指标</w:t>
            </w:r>
          </w:p>
        </w:tc>
        <w:tc>
          <w:tcPr>
            <w:tcW w:w="11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14C6EF">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1231" w:type="pct"/>
            <w:vMerge w:val="continue"/>
            <w:tcBorders>
              <w:top w:val="single" w:color="000000" w:sz="4" w:space="0"/>
              <w:left w:val="nil"/>
              <w:bottom w:val="single" w:color="000000" w:sz="4" w:space="0"/>
              <w:right w:val="single" w:color="000000" w:sz="4" w:space="0"/>
            </w:tcBorders>
            <w:shd w:val="clear" w:color="auto" w:fill="auto"/>
            <w:vAlign w:val="center"/>
          </w:tcPr>
          <w:p w14:paraId="7CCE2B3E">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2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8465B2">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325" w:type="pct"/>
            <w:vMerge w:val="continue"/>
            <w:tcBorders>
              <w:top w:val="single" w:color="000000" w:sz="4" w:space="0"/>
              <w:left w:val="nil"/>
              <w:bottom w:val="single" w:color="000000" w:sz="4" w:space="0"/>
              <w:right w:val="single" w:color="000000" w:sz="4" w:space="0"/>
            </w:tcBorders>
            <w:shd w:val="clear" w:color="auto" w:fill="auto"/>
            <w:vAlign w:val="center"/>
          </w:tcPr>
          <w:p w14:paraId="3AF0F328">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c>
          <w:tcPr>
            <w:tcW w:w="1134" w:type="pct"/>
            <w:vMerge w:val="continue"/>
            <w:tcBorders>
              <w:top w:val="single" w:color="000000" w:sz="4" w:space="0"/>
              <w:left w:val="nil"/>
              <w:bottom w:val="single" w:color="000000" w:sz="4" w:space="0"/>
              <w:right w:val="single" w:color="000000" w:sz="4" w:space="0"/>
            </w:tcBorders>
            <w:shd w:val="clear" w:color="auto" w:fill="auto"/>
            <w:vAlign w:val="center"/>
          </w:tcPr>
          <w:p w14:paraId="0741271F">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r>
      <w:tr w14:paraId="41DDDC6F">
        <w:tblPrEx>
          <w:tblCellMar>
            <w:top w:w="0" w:type="dxa"/>
            <w:left w:w="108" w:type="dxa"/>
            <w:bottom w:w="0" w:type="dxa"/>
            <w:right w:w="108" w:type="dxa"/>
          </w:tblCellMar>
        </w:tblPrEx>
        <w:trPr>
          <w:trHeight w:val="2160" w:hRule="atLeast"/>
        </w:trPr>
        <w:tc>
          <w:tcPr>
            <w:tcW w:w="2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430631">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部门预算管理（80分）</w:t>
            </w:r>
          </w:p>
        </w:tc>
        <w:tc>
          <w:tcPr>
            <w:tcW w:w="2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FBF57A">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预算编制（30分）</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D04A57">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目标制定</w:t>
            </w:r>
          </w:p>
        </w:tc>
        <w:tc>
          <w:tcPr>
            <w:tcW w:w="11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C7F670">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评价部门绩效目标是否要素完整、细化量化。</w:t>
            </w:r>
          </w:p>
        </w:tc>
        <w:tc>
          <w:tcPr>
            <w:tcW w:w="1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091808">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1.绩效目标编制要素完整的，得5分，否则酌情扣分。                                                       2.绩效指标细化量化的，得5分，否则酌情扣分。                  有项目绩效目标的部门（单位），根据项目绩效目标编制质量打分，无项目绩效目标的部门，根据部门整体支出绩效目标打分。                                                                    </w:t>
            </w:r>
          </w:p>
        </w:tc>
        <w:tc>
          <w:tcPr>
            <w:tcW w:w="2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CE8B52">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A85147">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10</w:t>
            </w:r>
          </w:p>
        </w:tc>
        <w:tc>
          <w:tcPr>
            <w:tcW w:w="1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93C1E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6C52BDE5">
        <w:tblPrEx>
          <w:tblCellMar>
            <w:top w:w="0" w:type="dxa"/>
            <w:left w:w="108" w:type="dxa"/>
            <w:bottom w:w="0" w:type="dxa"/>
            <w:right w:w="108" w:type="dxa"/>
          </w:tblCellMar>
        </w:tblPrEx>
        <w:trPr>
          <w:trHeight w:val="2805" w:hRule="atLeast"/>
        </w:trPr>
        <w:tc>
          <w:tcPr>
            <w:tcW w:w="2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A87764">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2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99F7B8">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D41EA6">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目标实现</w:t>
            </w:r>
          </w:p>
        </w:tc>
        <w:tc>
          <w:tcPr>
            <w:tcW w:w="11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58D6A1">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评价部门绩效目标实际实现程度与预期目标的偏离度。</w:t>
            </w:r>
          </w:p>
        </w:tc>
        <w:tc>
          <w:tcPr>
            <w:tcW w:w="1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CEE914">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以项目完成数量为核心，评价项目实际完成情况与预期绩效目标偏离度，单个数量指标实际完成未达到预期指标或超过预期指标30%以上的，均不计分。该项指标得分=达到预期值的数量指标个数/全部数量指标个数（即评价选取的项目绩效目标包含的所有数量指标）</w:t>
            </w:r>
          </w:p>
        </w:tc>
        <w:tc>
          <w:tcPr>
            <w:tcW w:w="2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D57240">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39B7E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2F612A">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4C61E2E2">
        <w:tblPrEx>
          <w:tblCellMar>
            <w:top w:w="0" w:type="dxa"/>
            <w:left w:w="108" w:type="dxa"/>
            <w:bottom w:w="0" w:type="dxa"/>
            <w:right w:w="108" w:type="dxa"/>
          </w:tblCellMar>
        </w:tblPrEx>
        <w:trPr>
          <w:trHeight w:val="1780" w:hRule="atLeast"/>
        </w:trPr>
        <w:tc>
          <w:tcPr>
            <w:tcW w:w="2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1D368D">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2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681970">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7577C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编制准确</w:t>
            </w:r>
          </w:p>
        </w:tc>
        <w:tc>
          <w:tcPr>
            <w:tcW w:w="11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571292">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评价部门年初预算编制是否科学准确。</w:t>
            </w:r>
          </w:p>
        </w:tc>
        <w:tc>
          <w:tcPr>
            <w:tcW w:w="1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DEC349">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指标得分=（1-（10×部门全年预算调剂金额/年初部门预算数））*指标分值。其中：若部门全年预算调剂金额/年初部门预算数&gt;0.1，此项得0分。</w:t>
            </w:r>
          </w:p>
        </w:tc>
        <w:tc>
          <w:tcPr>
            <w:tcW w:w="2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A0F425">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0CB2E0">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ECD8D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单位2021年预算数为251.15万元，调整预算为222.64万元，支出决算数为222.64万元。</w:t>
            </w:r>
          </w:p>
          <w:p w14:paraId="56E17D15">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部门全年预算调剂金额/年初部门预算数=0.11&gt;0.1</w:t>
            </w:r>
          </w:p>
        </w:tc>
      </w:tr>
      <w:tr w14:paraId="702FA5B9">
        <w:tblPrEx>
          <w:tblCellMar>
            <w:top w:w="0" w:type="dxa"/>
            <w:left w:w="108" w:type="dxa"/>
            <w:bottom w:w="0" w:type="dxa"/>
            <w:right w:w="108" w:type="dxa"/>
          </w:tblCellMar>
        </w:tblPrEx>
        <w:trPr>
          <w:trHeight w:val="2059" w:hRule="atLeast"/>
        </w:trPr>
        <w:tc>
          <w:tcPr>
            <w:tcW w:w="2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2DF148">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2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9E3AA1">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预算执行（30分）</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AAB49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支出控制</w:t>
            </w:r>
          </w:p>
        </w:tc>
        <w:tc>
          <w:tcPr>
            <w:tcW w:w="11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67660F">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部门公用经费及非定额公用支出控制情况。</w:t>
            </w:r>
          </w:p>
        </w:tc>
        <w:tc>
          <w:tcPr>
            <w:tcW w:w="1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5CA60D">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计算部门日常公用经费、项目支出中“办公费、印刷费、水费、电费、物业管理费”等科目年初预算数与决算数偏差程度                                                              预决算偏差程度在10%以内的，得10分。偏差度在10%-20%之间的，得5分，偏差度超过20%的，不得分。</w:t>
            </w:r>
          </w:p>
        </w:tc>
        <w:tc>
          <w:tcPr>
            <w:tcW w:w="2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B3F3DE">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20708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40195A">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031F2070">
        <w:tblPrEx>
          <w:tblCellMar>
            <w:top w:w="0" w:type="dxa"/>
            <w:left w:w="108" w:type="dxa"/>
            <w:bottom w:w="0" w:type="dxa"/>
            <w:right w:w="108" w:type="dxa"/>
          </w:tblCellMar>
        </w:tblPrEx>
        <w:trPr>
          <w:trHeight w:val="3120" w:hRule="atLeast"/>
        </w:trPr>
        <w:tc>
          <w:tcPr>
            <w:tcW w:w="2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52A8B1">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2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9BEDD2">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B23320">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动态调整</w:t>
            </w:r>
          </w:p>
        </w:tc>
        <w:tc>
          <w:tcPr>
            <w:tcW w:w="11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5ED93A">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评价部门开展绩效运行监控后，将绩效监控结果应用到预算调整的情况。</w:t>
            </w:r>
          </w:p>
        </w:tc>
        <w:tc>
          <w:tcPr>
            <w:tcW w:w="1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F629CA">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1.当部门绩效监控调整取消额和结余注销额均不为零时，指标得分=部门项目支出绩效监控调整取消额÷(部门绩效监控调整取消额+预算结余注销额）*10                                                  2.当部门绩效监控调整取消额为零，结余注销额不为零时，指标得分=（1-10*结余注销额/年度预算总额）*10，结余注销额超过部门年度预算总额10%的，指标不得分。                  3.当部门绩效监控调整取消额与结余注销额均为零时，得满分。                                                             </w:t>
            </w:r>
          </w:p>
        </w:tc>
        <w:tc>
          <w:tcPr>
            <w:tcW w:w="2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741E01">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4AB6D8">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6D49E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0D4116C0">
        <w:tblPrEx>
          <w:tblCellMar>
            <w:top w:w="0" w:type="dxa"/>
            <w:left w:w="108" w:type="dxa"/>
            <w:bottom w:w="0" w:type="dxa"/>
            <w:right w:w="108" w:type="dxa"/>
          </w:tblCellMar>
        </w:tblPrEx>
        <w:trPr>
          <w:trHeight w:val="2010" w:hRule="atLeast"/>
        </w:trPr>
        <w:tc>
          <w:tcPr>
            <w:tcW w:w="2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74618A">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2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DFC1A1">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20BCF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执行进度</w:t>
            </w:r>
          </w:p>
        </w:tc>
        <w:tc>
          <w:tcPr>
            <w:tcW w:w="11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F0DF4A">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评价部门在6、9、11月的预算执行情况。</w:t>
            </w:r>
          </w:p>
        </w:tc>
        <w:tc>
          <w:tcPr>
            <w:tcW w:w="1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9C802F">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部门预算执行进度在6、9、11月应达到序时进度的80%、90%、90%，即实际支出进度分别达到40%、67.5%、82.5%。                                                     6、9、11月部门预算执行进度达到量化指标的分别得3、4、3分，未达到目标进度的按其实际进度占目标进度的比重计算得分。                                             </w:t>
            </w:r>
          </w:p>
        </w:tc>
        <w:tc>
          <w:tcPr>
            <w:tcW w:w="2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7F084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A9EB4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7.81</w:t>
            </w:r>
          </w:p>
        </w:tc>
        <w:tc>
          <w:tcPr>
            <w:tcW w:w="1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F3C8CD">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6、9、11月9、11月预算执行进度分别为48.29%、65.32%、73.40%，实际支出进度未达到67.5%、82.5%。</w:t>
            </w:r>
          </w:p>
          <w:p w14:paraId="4F32479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得分=3+65.32%*4+73.40%*3=7.81分</w:t>
            </w:r>
          </w:p>
        </w:tc>
      </w:tr>
      <w:tr w14:paraId="7435985D">
        <w:tblPrEx>
          <w:tblCellMar>
            <w:top w:w="0" w:type="dxa"/>
            <w:left w:w="108" w:type="dxa"/>
            <w:bottom w:w="0" w:type="dxa"/>
            <w:right w:w="108" w:type="dxa"/>
          </w:tblCellMar>
        </w:tblPrEx>
        <w:trPr>
          <w:trHeight w:val="1380" w:hRule="atLeast"/>
        </w:trPr>
        <w:tc>
          <w:tcPr>
            <w:tcW w:w="2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D07E9E">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2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D09707">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完成结果（20分）</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EC8D82">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预算完成</w:t>
            </w:r>
          </w:p>
        </w:tc>
        <w:tc>
          <w:tcPr>
            <w:tcW w:w="11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7D2D27">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评价部门预算项目年终预算执行情况。</w:t>
            </w:r>
          </w:p>
        </w:tc>
        <w:tc>
          <w:tcPr>
            <w:tcW w:w="1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4F7650">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部门预算项目12月预算执行进度达到100%的，得10分，未达100%的，按照实际进度量化计算得分。</w:t>
            </w:r>
          </w:p>
        </w:tc>
        <w:tc>
          <w:tcPr>
            <w:tcW w:w="2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6E6B77">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432CB5">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958A97">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1D34D3F6">
        <w:tblPrEx>
          <w:tblCellMar>
            <w:top w:w="0" w:type="dxa"/>
            <w:left w:w="108" w:type="dxa"/>
            <w:bottom w:w="0" w:type="dxa"/>
            <w:right w:w="108" w:type="dxa"/>
          </w:tblCellMar>
        </w:tblPrEx>
        <w:trPr>
          <w:trHeight w:val="1080" w:hRule="atLeast"/>
        </w:trPr>
        <w:tc>
          <w:tcPr>
            <w:tcW w:w="2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C8D564">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2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B2A9AE">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E53CDA">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违规记录</w:t>
            </w:r>
          </w:p>
        </w:tc>
        <w:tc>
          <w:tcPr>
            <w:tcW w:w="11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819B09">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根据审计监督、财政检查结果反映部门上一年度部门预算管理是否合规。</w:t>
            </w:r>
          </w:p>
        </w:tc>
        <w:tc>
          <w:tcPr>
            <w:tcW w:w="1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A5AFBE">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依据评价年度审计监督、财政检查结果，出现部门预算管理方面违纪违规问题的，每个问题扣0.5分，直至扣完。</w:t>
            </w:r>
          </w:p>
        </w:tc>
        <w:tc>
          <w:tcPr>
            <w:tcW w:w="2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AA0DE1">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95CC0B">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5050D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24AEF41A">
        <w:tblPrEx>
          <w:tblCellMar>
            <w:top w:w="0" w:type="dxa"/>
            <w:left w:w="108" w:type="dxa"/>
            <w:bottom w:w="0" w:type="dxa"/>
            <w:right w:w="108" w:type="dxa"/>
          </w:tblCellMar>
        </w:tblPrEx>
        <w:trPr>
          <w:trHeight w:val="1740" w:hRule="atLeast"/>
        </w:trPr>
        <w:tc>
          <w:tcPr>
            <w:tcW w:w="2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651795">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绩效结果应用（10分）</w:t>
            </w:r>
          </w:p>
        </w:tc>
        <w:tc>
          <w:tcPr>
            <w:tcW w:w="245" w:type="pct"/>
            <w:tcBorders>
              <w:top w:val="nil"/>
              <w:left w:val="single" w:color="000000" w:sz="4" w:space="0"/>
              <w:bottom w:val="single" w:color="000000" w:sz="4" w:space="0"/>
              <w:right w:val="single" w:color="000000" w:sz="4" w:space="0"/>
            </w:tcBorders>
            <w:shd w:val="clear" w:color="auto" w:fill="auto"/>
            <w:vAlign w:val="center"/>
          </w:tcPr>
          <w:p w14:paraId="4C09D086">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信息公开（2分)</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326D7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自评公开</w:t>
            </w:r>
          </w:p>
        </w:tc>
        <w:tc>
          <w:tcPr>
            <w:tcW w:w="11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D70098">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评价部门是否按要求将部门整体绩效自评情况和自行组织的评价情况向社会公开。</w:t>
            </w:r>
          </w:p>
        </w:tc>
        <w:tc>
          <w:tcPr>
            <w:tcW w:w="1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A208B9">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按要求将相关绩效信息随同决算公开的，得2分，否则不得分。</w:t>
            </w:r>
          </w:p>
        </w:tc>
        <w:tc>
          <w:tcPr>
            <w:tcW w:w="2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A78A1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A80F72">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ACA2FB">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1717389C">
        <w:tblPrEx>
          <w:tblCellMar>
            <w:top w:w="0" w:type="dxa"/>
            <w:left w:w="108" w:type="dxa"/>
            <w:bottom w:w="0" w:type="dxa"/>
            <w:right w:w="108" w:type="dxa"/>
          </w:tblCellMar>
        </w:tblPrEx>
        <w:trPr>
          <w:trHeight w:val="1740" w:hRule="atLeast"/>
        </w:trPr>
        <w:tc>
          <w:tcPr>
            <w:tcW w:w="2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BEEAAE">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2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2589CA">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整改反馈（8分）</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183DA2">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结果整改</w:t>
            </w:r>
          </w:p>
        </w:tc>
        <w:tc>
          <w:tcPr>
            <w:tcW w:w="11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2FE1F8">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评价部门根据绩效管理结果整改问题、完善政策、改进管理的情况。</w:t>
            </w:r>
          </w:p>
        </w:tc>
        <w:tc>
          <w:tcPr>
            <w:tcW w:w="1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4E2758">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针对绩效管理过程中（包括绩效目标核查、绩效监控核查和重点绩效评价）提出的问题进行整改，将绩效管理结果应用于完善政策、改进管理、预算挂钩等的，得4分。否则，酌情扣分。</w:t>
            </w:r>
          </w:p>
        </w:tc>
        <w:tc>
          <w:tcPr>
            <w:tcW w:w="2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6195A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E2BD77">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81DD5F">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3063E6C6">
        <w:tblPrEx>
          <w:tblCellMar>
            <w:top w:w="0" w:type="dxa"/>
            <w:left w:w="108" w:type="dxa"/>
            <w:bottom w:w="0" w:type="dxa"/>
            <w:right w:w="108" w:type="dxa"/>
          </w:tblCellMar>
        </w:tblPrEx>
        <w:trPr>
          <w:trHeight w:val="2535" w:hRule="atLeast"/>
        </w:trPr>
        <w:tc>
          <w:tcPr>
            <w:tcW w:w="2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815627">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2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49D4A5">
            <w:pPr>
              <w:pageBreakBefore w:val="0"/>
              <w:wordWrap/>
              <w:overflowPunct/>
              <w:topLinePunct w:val="0"/>
              <w:bidi w:val="0"/>
              <w:spacing w:line="560" w:lineRule="exact"/>
              <w:jc w:val="center"/>
              <w:rPr>
                <w:rFonts w:hint="eastAsia" w:ascii="宋体" w:hAnsi="宋体" w:eastAsia="宋体" w:cs="宋体"/>
                <w:i w:val="0"/>
                <w:iCs w:val="0"/>
                <w:color w:val="000000"/>
                <w:sz w:val="24"/>
                <w:szCs w:val="24"/>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E26435">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应用反馈</w:t>
            </w:r>
          </w:p>
        </w:tc>
        <w:tc>
          <w:tcPr>
            <w:tcW w:w="11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419257">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评价部门按要求及时向财政部门反馈结果应用情况。</w:t>
            </w:r>
          </w:p>
        </w:tc>
        <w:tc>
          <w:tcPr>
            <w:tcW w:w="1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0C10C2">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部门在规定时间内向财政部门反馈应用绩效结果报告的，得满分，否则不得分。</w:t>
            </w:r>
          </w:p>
        </w:tc>
        <w:tc>
          <w:tcPr>
            <w:tcW w:w="2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94EA9E">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387A5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C5D52E">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14:paraId="25284AD8">
        <w:tblPrEx>
          <w:tblCellMar>
            <w:top w:w="0" w:type="dxa"/>
            <w:left w:w="108" w:type="dxa"/>
            <w:bottom w:w="0" w:type="dxa"/>
            <w:right w:w="108" w:type="dxa"/>
          </w:tblCellMar>
        </w:tblPrEx>
        <w:trPr>
          <w:trHeight w:val="1248"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BBAEC6">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自评质量（10分）</w:t>
            </w:r>
          </w:p>
        </w:tc>
        <w:tc>
          <w:tcPr>
            <w:tcW w:w="245" w:type="pct"/>
            <w:tcBorders>
              <w:top w:val="nil"/>
              <w:left w:val="single" w:color="000000" w:sz="4" w:space="0"/>
              <w:bottom w:val="single" w:color="000000" w:sz="4" w:space="0"/>
              <w:right w:val="single" w:color="000000" w:sz="4" w:space="0"/>
            </w:tcBorders>
            <w:shd w:val="clear" w:color="auto" w:fill="auto"/>
            <w:vAlign w:val="center"/>
          </w:tcPr>
          <w:p w14:paraId="22B67FFC">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自评质量（10分）</w:t>
            </w:r>
          </w:p>
        </w:tc>
        <w:tc>
          <w:tcPr>
            <w:tcW w:w="366" w:type="pct"/>
            <w:tcBorders>
              <w:top w:val="nil"/>
              <w:left w:val="single" w:color="000000" w:sz="4" w:space="0"/>
              <w:bottom w:val="single" w:color="000000" w:sz="4" w:space="0"/>
              <w:right w:val="single" w:color="000000" w:sz="4" w:space="0"/>
            </w:tcBorders>
            <w:shd w:val="clear" w:color="auto" w:fill="auto"/>
            <w:vAlign w:val="center"/>
          </w:tcPr>
          <w:p w14:paraId="5EF3EBE4">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自评准确</w:t>
            </w:r>
          </w:p>
        </w:tc>
        <w:tc>
          <w:tcPr>
            <w:tcW w:w="1151" w:type="pct"/>
            <w:tcBorders>
              <w:top w:val="nil"/>
              <w:left w:val="single" w:color="000000" w:sz="4" w:space="0"/>
              <w:bottom w:val="single" w:color="000000" w:sz="4" w:space="0"/>
              <w:right w:val="single" w:color="000000" w:sz="4" w:space="0"/>
            </w:tcBorders>
            <w:shd w:val="clear" w:color="auto" w:fill="auto"/>
            <w:vAlign w:val="center"/>
          </w:tcPr>
          <w:p w14:paraId="744D4440">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评价部门整体支出自评准确率。</w:t>
            </w:r>
          </w:p>
        </w:tc>
        <w:tc>
          <w:tcPr>
            <w:tcW w:w="1231" w:type="pct"/>
            <w:tcBorders>
              <w:top w:val="nil"/>
              <w:left w:val="single" w:color="000000" w:sz="4" w:space="0"/>
              <w:bottom w:val="single" w:color="000000" w:sz="4" w:space="0"/>
              <w:right w:val="single" w:color="000000" w:sz="4" w:space="0"/>
            </w:tcBorders>
            <w:shd w:val="clear" w:color="auto" w:fill="auto"/>
            <w:vAlign w:val="center"/>
          </w:tcPr>
          <w:p w14:paraId="56BB77CA">
            <w:pPr>
              <w:keepNext w:val="0"/>
              <w:keepLines w:val="0"/>
              <w:pageBreakBefore w:val="0"/>
              <w:widowControl/>
              <w:suppressLineNumbers w:val="0"/>
              <w:wordWrap/>
              <w:overflowPunct/>
              <w:topLinePunct w:val="0"/>
              <w:bidi w:val="0"/>
              <w:spacing w:line="5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部门整体支出自评得分与评价组抽查得分差异在5%以内的，不扣分；在5%-10%之间的，扣4分，在10%-20%的，扣8分，在20%以上的，扣10分。（部门在自评时，此项指标无需打分，部门自评满分为90分）</w:t>
            </w:r>
          </w:p>
        </w:tc>
        <w:tc>
          <w:tcPr>
            <w:tcW w:w="2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16484A">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487E25">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CF315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房征中心自评为90分，评价组评分为76.81分，差异为13.19%，在10%-20%之间.</w:t>
            </w:r>
          </w:p>
        </w:tc>
      </w:tr>
      <w:tr w14:paraId="77824ADA">
        <w:tblPrEx>
          <w:tblCellMar>
            <w:top w:w="0" w:type="dxa"/>
            <w:left w:w="108" w:type="dxa"/>
            <w:bottom w:w="0" w:type="dxa"/>
            <w:right w:w="108" w:type="dxa"/>
          </w:tblCellMar>
        </w:tblPrEx>
        <w:trPr>
          <w:trHeight w:val="560" w:hRule="atLeast"/>
        </w:trPr>
        <w:tc>
          <w:tcPr>
            <w:tcW w:w="324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25C8D9E">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合计</w:t>
            </w:r>
          </w:p>
        </w:tc>
        <w:tc>
          <w:tcPr>
            <w:tcW w:w="2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834F59">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100</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218543">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79.81</w:t>
            </w:r>
          </w:p>
        </w:tc>
        <w:tc>
          <w:tcPr>
            <w:tcW w:w="1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F8B794">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r>
      <w:tr w14:paraId="61E155F0">
        <w:tblPrEx>
          <w:tblCellMar>
            <w:top w:w="0" w:type="dxa"/>
            <w:left w:w="108" w:type="dxa"/>
            <w:bottom w:w="0" w:type="dxa"/>
            <w:right w:w="108" w:type="dxa"/>
          </w:tblCellMar>
        </w:tblPrEx>
        <w:trPr>
          <w:trHeight w:val="560" w:hRule="atLeast"/>
        </w:trPr>
        <w:tc>
          <w:tcPr>
            <w:tcW w:w="3539"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F5200AB">
            <w:pPr>
              <w:keepNext w:val="0"/>
              <w:keepLines w:val="0"/>
              <w:pageBreakBefore w:val="0"/>
              <w:widowControl/>
              <w:suppressLineNumbers w:val="0"/>
              <w:wordWrap/>
              <w:overflowPunct/>
              <w:topLinePunct w:val="0"/>
              <w:bidi w:val="0"/>
              <w:spacing w:line="560" w:lineRule="exact"/>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评价等级</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CD301C">
            <w:pPr>
              <w:keepNext w:val="0"/>
              <w:keepLines w:val="0"/>
              <w:pageBreakBefore w:val="0"/>
              <w:widowControl/>
              <w:suppressLineNumbers w:val="0"/>
              <w:wordWrap/>
              <w:overflowPunct/>
              <w:topLinePunct w:val="0"/>
              <w:bidi w:val="0"/>
              <w:spacing w:line="560" w:lineRule="exact"/>
              <w:jc w:val="center"/>
              <w:textAlignment w:val="center"/>
              <w:rPr>
                <w:rFonts w:hint="default"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中</w:t>
            </w:r>
          </w:p>
        </w:tc>
        <w:tc>
          <w:tcPr>
            <w:tcW w:w="1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38C45E">
            <w:pPr>
              <w:pageBreakBefore w:val="0"/>
              <w:wordWrap/>
              <w:overflowPunct/>
              <w:topLinePunct w:val="0"/>
              <w:bidi w:val="0"/>
              <w:spacing w:line="560" w:lineRule="exact"/>
              <w:jc w:val="center"/>
              <w:rPr>
                <w:rFonts w:hint="eastAsia" w:ascii="宋体" w:hAnsi="宋体" w:eastAsia="宋体" w:cs="宋体"/>
                <w:b/>
                <w:bCs/>
                <w:i w:val="0"/>
                <w:iCs w:val="0"/>
                <w:color w:val="000000"/>
                <w:sz w:val="24"/>
                <w:szCs w:val="24"/>
                <w:u w:val="none"/>
              </w:rPr>
            </w:pPr>
          </w:p>
        </w:tc>
      </w:tr>
    </w:tbl>
    <w:p w14:paraId="370E3BCF">
      <w:pPr>
        <w:pStyle w:val="17"/>
        <w:pageBreakBefore w:val="0"/>
        <w:kinsoku/>
        <w:wordWrap/>
        <w:overflowPunct/>
        <w:topLinePunct w:val="0"/>
        <w:autoSpaceDE/>
        <w:autoSpaceDN/>
        <w:bidi w:val="0"/>
        <w:spacing w:line="560" w:lineRule="exact"/>
        <w:ind w:firstLine="480" w:firstLineChars="200"/>
        <w:jc w:val="both"/>
        <w:textAlignment w:val="auto"/>
        <w:rPr>
          <w:rFonts w:hint="eastAsia" w:eastAsia="宋体" w:cs="宋体"/>
          <w:color w:val="auto"/>
          <w:sz w:val="24"/>
          <w:szCs w:val="24"/>
          <w:lang w:val="en-US" w:eastAsia="zh-CN"/>
        </w:rPr>
      </w:pPr>
    </w:p>
    <w:p w14:paraId="19858308">
      <w:pPr>
        <w:pStyle w:val="17"/>
        <w:pageBreakBefore w:val="0"/>
        <w:kinsoku/>
        <w:wordWrap/>
        <w:overflowPunct/>
        <w:topLinePunct w:val="0"/>
        <w:autoSpaceDE/>
        <w:autoSpaceDN/>
        <w:bidi w:val="0"/>
        <w:spacing w:line="560" w:lineRule="exact"/>
        <w:ind w:firstLine="420" w:firstLineChars="200"/>
        <w:jc w:val="both"/>
        <w:textAlignment w:val="auto"/>
        <w:rPr>
          <w:rFonts w:hint="default" w:eastAsia="宋体" w:cs="宋体"/>
          <w:color w:val="auto"/>
          <w:lang w:val="en-US" w:eastAsia="zh-CN"/>
        </w:rPr>
      </w:pPr>
    </w:p>
    <w:p w14:paraId="2CFC24FB">
      <w:pPr>
        <w:pStyle w:val="4"/>
        <w:pageBreakBefore w:val="0"/>
        <w:kinsoku/>
        <w:wordWrap/>
        <w:overflowPunct/>
        <w:topLinePunct w:val="0"/>
        <w:autoSpaceDE/>
        <w:autoSpaceDN/>
        <w:bidi w:val="0"/>
        <w:spacing w:line="560" w:lineRule="exact"/>
        <w:ind w:firstLine="640" w:firstLineChars="200"/>
        <w:textAlignment w:val="auto"/>
        <w:rPr>
          <w:rFonts w:hint="eastAsia" w:eastAsia="仿宋_GB2312"/>
          <w:color w:val="auto"/>
          <w:lang w:val="en-US" w:eastAsia="zh-CN"/>
        </w:rPr>
      </w:pPr>
    </w:p>
    <w:p w14:paraId="41CF6E6E">
      <w:pPr>
        <w:pStyle w:val="4"/>
        <w:pageBreakBefore w:val="0"/>
        <w:widowControl w:val="0"/>
        <w:kinsoku/>
        <w:wordWrap/>
        <w:overflowPunct/>
        <w:topLinePunct w:val="0"/>
        <w:autoSpaceDE/>
        <w:autoSpaceDN/>
        <w:bidi w:val="0"/>
        <w:spacing w:line="560" w:lineRule="exact"/>
        <w:ind w:firstLine="640" w:firstLineChars="200"/>
        <w:textAlignment w:val="auto"/>
        <w:rPr>
          <w:rFonts w:hint="eastAsia" w:ascii="仿宋_GB2312"/>
          <w:lang w:val="en-US"/>
        </w:rPr>
        <w:sectPr>
          <w:pgSz w:w="16838" w:h="11906" w:orient="landscape"/>
          <w:pgMar w:top="1797" w:right="1440" w:bottom="1489" w:left="1440" w:header="851" w:footer="992" w:gutter="0"/>
          <w:pgNumType w:start="1"/>
          <w:cols w:space="425" w:num="1"/>
          <w:docGrid w:type="lines" w:linePitch="312" w:charSpace="0"/>
        </w:sectPr>
      </w:pPr>
    </w:p>
    <w:p w14:paraId="7CE1159F">
      <w:pPr>
        <w:pStyle w:val="4"/>
        <w:pageBreakBefore w:val="0"/>
        <w:widowControl w:val="0"/>
        <w:kinsoku/>
        <w:wordWrap/>
        <w:overflowPunct/>
        <w:topLinePunct w:val="0"/>
        <w:autoSpaceDE/>
        <w:autoSpaceDN/>
        <w:bidi w:val="0"/>
        <w:spacing w:line="560" w:lineRule="exact"/>
        <w:ind w:firstLine="640" w:firstLineChars="200"/>
        <w:textAlignment w:val="auto"/>
        <w:rPr>
          <w:rFonts w:hint="eastAsia" w:ascii="仿宋_GB2312"/>
          <w:lang w:val="en-US"/>
        </w:rPr>
      </w:pPr>
    </w:p>
    <w:p w14:paraId="2F6F92D5">
      <w:pPr>
        <w:pStyle w:val="4"/>
        <w:pageBreakBefore w:val="0"/>
        <w:widowControl w:val="0"/>
        <w:kinsoku/>
        <w:wordWrap/>
        <w:overflowPunct/>
        <w:topLinePunct w:val="0"/>
        <w:autoSpaceDE/>
        <w:autoSpaceDN/>
        <w:bidi w:val="0"/>
        <w:spacing w:line="560" w:lineRule="exact"/>
        <w:ind w:firstLine="640" w:firstLineChars="200"/>
        <w:textAlignment w:val="auto"/>
        <w:rPr>
          <w:rFonts w:hint="default"/>
          <w:color w:val="auto"/>
          <w:lang w:val="en-US" w:eastAsia="zh-CN"/>
        </w:rPr>
      </w:pPr>
    </w:p>
    <w:p w14:paraId="753122A8">
      <w:pPr>
        <w:pageBreakBefore w:val="0"/>
        <w:kinsoku/>
        <w:wordWrap/>
        <w:overflowPunct/>
        <w:topLinePunct w:val="0"/>
        <w:autoSpaceDE/>
        <w:autoSpaceDN/>
        <w:bidi w:val="0"/>
        <w:spacing w:line="560" w:lineRule="exact"/>
        <w:ind w:firstLine="420" w:firstLineChars="200"/>
        <w:rPr>
          <w:rFonts w:eastAsia="宋体" w:cs="宋体"/>
          <w:color w:val="auto"/>
        </w:rPr>
      </w:pPr>
      <w:r>
        <w:rPr>
          <w:rFonts w:eastAsia="宋体" w:cs="宋体"/>
          <w:color w:val="auto"/>
        </w:rPr>
        <w:br w:type="page"/>
      </w:r>
    </w:p>
    <w:p w14:paraId="13E64857">
      <w:pPr>
        <w:pStyle w:val="4"/>
        <w:pageBreakBefore w:val="0"/>
        <w:widowControl w:val="0"/>
        <w:numPr>
          <w:ilvl w:val="0"/>
          <w:numId w:val="0"/>
        </w:numPr>
        <w:kinsoku/>
        <w:wordWrap/>
        <w:overflowPunct/>
        <w:topLinePunct w:val="0"/>
        <w:autoSpaceDE/>
        <w:autoSpaceDN/>
        <w:bidi w:val="0"/>
        <w:spacing w:line="560" w:lineRule="exact"/>
        <w:ind w:firstLine="643" w:firstLineChars="200"/>
        <w:textAlignment w:val="auto"/>
        <w:outlineLvl w:val="9"/>
        <w:rPr>
          <w:rFonts w:hint="eastAsia" w:ascii="仿宋" w:hAnsi="仿宋" w:eastAsia="仿宋" w:cs="仿宋"/>
          <w:b/>
          <w:color w:val="auto"/>
          <w:kern w:val="2"/>
          <w:sz w:val="32"/>
          <w:szCs w:val="32"/>
          <w:lang w:val="en-US" w:eastAsia="zh-CN" w:bidi="ar-SA"/>
        </w:rPr>
        <w:sectPr>
          <w:pgSz w:w="11906" w:h="16838"/>
          <w:pgMar w:top="1440" w:right="1489" w:bottom="1440" w:left="1797" w:header="851" w:footer="992" w:gutter="0"/>
          <w:pgNumType w:start="1"/>
          <w:cols w:space="425" w:num="1"/>
          <w:docGrid w:type="lines" w:linePitch="312" w:charSpace="0"/>
        </w:sectPr>
      </w:pPr>
    </w:p>
    <w:p w14:paraId="3BC15719">
      <w:pPr>
        <w:pStyle w:val="4"/>
        <w:pageBreakBefore w:val="0"/>
        <w:widowControl w:val="0"/>
        <w:kinsoku/>
        <w:wordWrap/>
        <w:overflowPunct/>
        <w:topLinePunct w:val="0"/>
        <w:autoSpaceDE/>
        <w:autoSpaceDN/>
        <w:bidi w:val="0"/>
        <w:spacing w:line="560" w:lineRule="exact"/>
        <w:ind w:firstLine="640" w:firstLineChars="200"/>
        <w:textAlignment w:val="auto"/>
        <w:rPr>
          <w:rFonts w:hint="default"/>
          <w:color w:val="auto"/>
          <w:lang w:val="en-US" w:eastAsia="zh-CN"/>
        </w:rPr>
      </w:pPr>
    </w:p>
    <w:p w14:paraId="40302FF2">
      <w:pPr>
        <w:pageBreakBefore w:val="0"/>
        <w:kinsoku/>
        <w:wordWrap/>
        <w:overflowPunct/>
        <w:topLinePunct w:val="0"/>
        <w:autoSpaceDE/>
        <w:autoSpaceDN/>
        <w:bidi w:val="0"/>
        <w:spacing w:line="560" w:lineRule="exact"/>
        <w:ind w:firstLine="420" w:firstLineChars="200"/>
        <w:rPr>
          <w:rFonts w:eastAsia="宋体" w:cs="宋体"/>
          <w:color w:val="auto"/>
        </w:rPr>
      </w:pPr>
      <w:r>
        <w:rPr>
          <w:rFonts w:eastAsia="宋体" w:cs="宋体"/>
          <w:color w:val="auto"/>
        </w:rPr>
        <w:br w:type="page"/>
      </w:r>
    </w:p>
    <w:p w14:paraId="7E9B62F3">
      <w:pPr>
        <w:pStyle w:val="4"/>
        <w:pageBreakBefore w:val="0"/>
        <w:widowControl w:val="0"/>
        <w:numPr>
          <w:ilvl w:val="0"/>
          <w:numId w:val="0"/>
        </w:numPr>
        <w:kinsoku/>
        <w:wordWrap/>
        <w:overflowPunct/>
        <w:topLinePunct w:val="0"/>
        <w:autoSpaceDE/>
        <w:autoSpaceDN/>
        <w:bidi w:val="0"/>
        <w:spacing w:line="560" w:lineRule="exact"/>
        <w:ind w:firstLine="643" w:firstLineChars="200"/>
        <w:textAlignment w:val="auto"/>
        <w:outlineLvl w:val="9"/>
        <w:rPr>
          <w:rFonts w:hint="eastAsia" w:ascii="仿宋" w:hAnsi="仿宋" w:eastAsia="仿宋" w:cs="仿宋"/>
          <w:b/>
          <w:color w:val="auto"/>
          <w:kern w:val="2"/>
          <w:sz w:val="32"/>
          <w:szCs w:val="32"/>
          <w:lang w:val="en-US" w:eastAsia="zh-CN" w:bidi="ar-SA"/>
        </w:rPr>
        <w:sectPr>
          <w:pgSz w:w="11906" w:h="16838"/>
          <w:pgMar w:top="1440" w:right="1489" w:bottom="1440" w:left="1797" w:header="851" w:footer="992" w:gutter="0"/>
          <w:pgNumType w:start="1"/>
          <w:cols w:space="425" w:num="1"/>
          <w:docGrid w:type="lines" w:linePitch="312" w:charSpace="0"/>
        </w:sectPr>
      </w:pPr>
    </w:p>
    <w:p w14:paraId="0F1049F9">
      <w:pPr>
        <w:pStyle w:val="4"/>
        <w:keepNext w:val="0"/>
        <w:keepLines w:val="0"/>
        <w:pageBreakBefore w:val="0"/>
        <w:widowControl w:val="0"/>
        <w:kinsoku/>
        <w:wordWrap/>
        <w:overflowPunct/>
        <w:topLinePunct w:val="0"/>
        <w:autoSpaceDE/>
        <w:autoSpaceDN/>
        <w:bidi w:val="0"/>
        <w:adjustRightInd w:val="0"/>
        <w:spacing w:line="560" w:lineRule="exact"/>
        <w:ind w:firstLine="640" w:firstLineChars="200"/>
        <w:textAlignment w:val="auto"/>
        <w:rPr>
          <w:rFonts w:hint="default"/>
          <w:color w:val="auto"/>
          <w:lang w:val="en-US" w:eastAsia="zh-CN"/>
        </w:rPr>
      </w:pPr>
    </w:p>
    <w:p w14:paraId="05C3052C">
      <w:pPr>
        <w:pageBreakBefore w:val="0"/>
        <w:kinsoku/>
        <w:wordWrap/>
        <w:overflowPunct/>
        <w:topLinePunct w:val="0"/>
        <w:autoSpaceDE/>
        <w:autoSpaceDN/>
        <w:bidi w:val="0"/>
        <w:spacing w:line="560" w:lineRule="exact"/>
        <w:ind w:firstLine="420" w:firstLineChars="200"/>
        <w:rPr>
          <w:rFonts w:eastAsia="宋体" w:cs="宋体"/>
          <w:color w:val="auto"/>
        </w:rPr>
      </w:pPr>
      <w:r>
        <w:rPr>
          <w:rFonts w:eastAsia="宋体" w:cs="宋体"/>
          <w:color w:val="auto"/>
        </w:rPr>
        <w:br w:type="page"/>
      </w:r>
    </w:p>
    <w:p w14:paraId="1B6B2DFA">
      <w:pPr>
        <w:pStyle w:val="4"/>
        <w:pageBreakBefore w:val="0"/>
        <w:widowControl w:val="0"/>
        <w:numPr>
          <w:ilvl w:val="0"/>
          <w:numId w:val="0"/>
        </w:numPr>
        <w:kinsoku/>
        <w:wordWrap/>
        <w:overflowPunct/>
        <w:topLinePunct w:val="0"/>
        <w:autoSpaceDE/>
        <w:autoSpaceDN/>
        <w:bidi w:val="0"/>
        <w:spacing w:line="560" w:lineRule="exact"/>
        <w:ind w:firstLine="643" w:firstLineChars="200"/>
        <w:textAlignment w:val="auto"/>
        <w:outlineLvl w:val="9"/>
        <w:rPr>
          <w:rFonts w:hint="eastAsia" w:ascii="仿宋" w:hAnsi="仿宋" w:eastAsia="仿宋" w:cs="仿宋"/>
          <w:b/>
          <w:color w:val="auto"/>
          <w:kern w:val="2"/>
          <w:sz w:val="32"/>
          <w:szCs w:val="32"/>
          <w:lang w:val="en-US" w:eastAsia="zh-CN" w:bidi="ar-SA"/>
        </w:rPr>
        <w:sectPr>
          <w:pgSz w:w="11906" w:h="16838"/>
          <w:pgMar w:top="1440" w:right="1489" w:bottom="1440" w:left="1797" w:header="851" w:footer="992" w:gutter="0"/>
          <w:pgNumType w:fmt="decimal" w:start="1"/>
          <w:cols w:space="425" w:num="1"/>
          <w:docGrid w:type="lines" w:linePitch="312" w:charSpace="0"/>
        </w:sectPr>
      </w:pPr>
    </w:p>
    <w:p w14:paraId="01B6C0AB">
      <w:pPr>
        <w:pStyle w:val="4"/>
        <w:keepNext w:val="0"/>
        <w:keepLines w:val="0"/>
        <w:pageBreakBefore w:val="0"/>
        <w:widowControl w:val="0"/>
        <w:kinsoku/>
        <w:wordWrap/>
        <w:overflowPunct/>
        <w:topLinePunct w:val="0"/>
        <w:autoSpaceDE/>
        <w:autoSpaceDN/>
        <w:bidi w:val="0"/>
        <w:adjustRightInd w:val="0"/>
        <w:spacing w:line="560" w:lineRule="exact"/>
        <w:ind w:firstLine="640" w:firstLineChars="200"/>
        <w:textAlignment w:val="auto"/>
        <w:rPr>
          <w:rFonts w:hint="default"/>
          <w:color w:val="auto"/>
          <w:lang w:val="en-US" w:eastAsia="zh-CN"/>
        </w:rPr>
      </w:pPr>
    </w:p>
    <w:p w14:paraId="01E0FBAC">
      <w:pPr>
        <w:pStyle w:val="4"/>
        <w:keepNext w:val="0"/>
        <w:keepLines w:val="0"/>
        <w:pageBreakBefore w:val="0"/>
        <w:widowControl w:val="0"/>
        <w:kinsoku/>
        <w:wordWrap/>
        <w:overflowPunct/>
        <w:topLinePunct w:val="0"/>
        <w:autoSpaceDE/>
        <w:autoSpaceDN/>
        <w:bidi w:val="0"/>
        <w:adjustRightInd w:val="0"/>
        <w:spacing w:line="560" w:lineRule="exact"/>
        <w:ind w:firstLine="640" w:firstLineChars="200"/>
        <w:textAlignment w:val="auto"/>
        <w:rPr>
          <w:rFonts w:hint="default"/>
          <w:color w:val="auto"/>
          <w:lang w:val="en-US" w:eastAsia="zh-CN"/>
        </w:rPr>
      </w:pPr>
    </w:p>
    <w:p w14:paraId="454F90F0">
      <w:pPr>
        <w:keepNext w:val="0"/>
        <w:keepLines w:val="0"/>
        <w:pageBreakBefore w:val="0"/>
        <w:kinsoku/>
        <w:wordWrap/>
        <w:overflowPunct/>
        <w:topLinePunct w:val="0"/>
        <w:autoSpaceDE/>
        <w:autoSpaceDN/>
        <w:bidi w:val="0"/>
        <w:adjustRightInd w:val="0"/>
        <w:spacing w:line="560" w:lineRule="exact"/>
        <w:ind w:firstLine="420" w:firstLineChars="200"/>
        <w:rPr>
          <w:rFonts w:eastAsia="宋体" w:cs="宋体"/>
          <w:color w:val="auto"/>
        </w:rPr>
      </w:pPr>
      <w:r>
        <w:rPr>
          <w:rFonts w:eastAsia="宋体" w:cs="宋体"/>
          <w:color w:val="auto"/>
        </w:rPr>
        <w:br w:type="page"/>
      </w:r>
    </w:p>
    <w:p w14:paraId="40BF21C8">
      <w:pPr>
        <w:pStyle w:val="4"/>
        <w:keepNext w:val="0"/>
        <w:keepLines w:val="0"/>
        <w:pageBreakBefore w:val="0"/>
        <w:widowControl w:val="0"/>
        <w:numPr>
          <w:ilvl w:val="0"/>
          <w:numId w:val="0"/>
        </w:numPr>
        <w:kinsoku/>
        <w:wordWrap/>
        <w:overflowPunct/>
        <w:topLinePunct w:val="0"/>
        <w:autoSpaceDE/>
        <w:autoSpaceDN/>
        <w:bidi w:val="0"/>
        <w:adjustRightInd w:val="0"/>
        <w:spacing w:line="560" w:lineRule="exact"/>
        <w:ind w:firstLine="643" w:firstLineChars="200"/>
        <w:textAlignment w:val="auto"/>
        <w:outlineLvl w:val="9"/>
        <w:rPr>
          <w:rFonts w:hint="eastAsia" w:ascii="仿宋" w:hAnsi="仿宋" w:eastAsia="仿宋" w:cs="仿宋"/>
          <w:b/>
          <w:color w:val="auto"/>
          <w:kern w:val="2"/>
          <w:sz w:val="32"/>
          <w:szCs w:val="32"/>
          <w:lang w:val="en-US" w:eastAsia="zh-CN" w:bidi="ar-SA"/>
        </w:rPr>
        <w:sectPr>
          <w:pgSz w:w="11906" w:h="16838"/>
          <w:pgMar w:top="1440" w:right="1489" w:bottom="1440" w:left="1797" w:header="851" w:footer="992" w:gutter="0"/>
          <w:pgNumType w:start="1"/>
          <w:cols w:space="425" w:num="1"/>
          <w:docGrid w:type="lines" w:linePitch="312" w:charSpace="0"/>
        </w:sectPr>
      </w:pPr>
    </w:p>
    <w:p w14:paraId="6D498F25">
      <w:pPr>
        <w:pStyle w:val="2"/>
        <w:pageBreakBefore w:val="0"/>
        <w:wordWrap/>
        <w:overflowPunct/>
        <w:topLinePunct w:val="0"/>
        <w:bidi w:val="0"/>
        <w:spacing w:line="560" w:lineRule="exact"/>
        <w:rPr>
          <w:sz w:val="32"/>
          <w:szCs w:val="32"/>
        </w:rPr>
      </w:pPr>
    </w:p>
    <w:sectPr>
      <w:pgSz w:w="11906" w:h="16838"/>
      <w:pgMar w:top="720" w:right="720" w:bottom="720" w:left="72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简体">
    <w:altName w:val="宋体"/>
    <w:panose1 w:val="02010601030101010101"/>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小标宋">
    <w:altName w:val="微软雅黑"/>
    <w:panose1 w:val="00000000000000000000"/>
    <w:charset w:val="86"/>
    <w:family w:val="roman"/>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方正小标宋_GBK">
    <w:altName w:val="微软雅黑"/>
    <w:panose1 w:val="00000000000000000000"/>
    <w:charset w:val="86"/>
    <w:family w:val="script"/>
    <w:pitch w:val="default"/>
    <w:sig w:usb0="00000000" w:usb1="00000000" w:usb2="0000001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38571208"/>
    </w:sdtPr>
    <w:sdtContent>
      <w:p w14:paraId="3331ECC9">
        <w:pPr>
          <w:pStyle w:val="9"/>
          <w:jc w:val="center"/>
        </w:pPr>
        <w:r>
          <w:fldChar w:fldCharType="begin"/>
        </w:r>
        <w:r>
          <w:instrText xml:space="preserve">PAGE   \* MERGEFORMAT</w:instrText>
        </w:r>
        <w:r>
          <w:fldChar w:fldCharType="separate"/>
        </w:r>
        <w:r>
          <w:rPr>
            <w:lang w:val="zh-CN"/>
          </w:rPr>
          <w:t>1</w:t>
        </w:r>
        <w:r>
          <w:fldChar w:fldCharType="end"/>
        </w:r>
      </w:p>
    </w:sdtContent>
  </w:sdt>
  <w:p w14:paraId="188436AF">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AFD4CD">
    <w:pPr>
      <w:pStyle w:val="9"/>
      <w:jc w:val="both"/>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92D016">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2F92D016">
                    <w:pPr>
                      <w:pStyle w:val="9"/>
                    </w:pPr>
                    <w:r>
                      <w:fldChar w:fldCharType="begin"/>
                    </w:r>
                    <w:r>
                      <w:instrText xml:space="preserve"> PAGE  \* MERGEFORMAT </w:instrText>
                    </w:r>
                    <w:r>
                      <w:fldChar w:fldCharType="separate"/>
                    </w:r>
                    <w:r>
                      <w:t>1</w:t>
                    </w:r>
                    <w: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hint="default"/>
                              <w:lang w:val="en-US"/>
                            </w:rPr>
                            <w:id w:val="147467716"/>
                            <w:showingPlcHdr/>
                          </w:sdtPr>
                          <w:sdtEndPr>
                            <w:rPr>
                              <w:rFonts w:hint="default"/>
                              <w:lang w:val="en-US"/>
                            </w:rPr>
                          </w:sdtEndPr>
                          <w:sdtContent>
                            <w:p w14:paraId="2E999ADD">
                              <w:pPr>
                                <w:pStyle w:val="9"/>
                                <w:jc w:val="center"/>
                              </w:pPr>
                            </w:p>
                          </w:sdtContent>
                        </w:sdt>
                        <w:p w14:paraId="5C200735">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sdt>
                    <w:sdtPr>
                      <w:rPr>
                        <w:rFonts w:hint="default"/>
                        <w:lang w:val="en-US"/>
                      </w:rPr>
                      <w:id w:val="147467716"/>
                      <w:showingPlcHdr/>
                    </w:sdtPr>
                    <w:sdtEndPr>
                      <w:rPr>
                        <w:rFonts w:hint="default"/>
                        <w:lang w:val="en-US"/>
                      </w:rPr>
                    </w:sdtEndPr>
                    <w:sdtContent>
                      <w:p w14:paraId="2E999ADD">
                        <w:pPr>
                          <w:pStyle w:val="9"/>
                          <w:jc w:val="center"/>
                        </w:pPr>
                      </w:p>
                    </w:sdtContent>
                  </w:sdt>
                  <w:p w14:paraId="5C200735">
                    <w:pPr>
                      <w:pStyle w:val="2"/>
                    </w:pPr>
                  </w:p>
                </w:txbxContent>
              </v:textbox>
            </v:shape>
          </w:pict>
        </mc:Fallback>
      </mc:AlternateContent>
    </w:r>
  </w:p>
  <w:p w14:paraId="432C40F4">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999628">
    <w:pPr>
      <w:pStyle w:val="9"/>
      <w:jc w:val="both"/>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E301E2">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7E301E2">
                    <w:pPr>
                      <w:pStyle w:val="9"/>
                    </w:pPr>
                    <w:r>
                      <w:fldChar w:fldCharType="begin"/>
                    </w:r>
                    <w:r>
                      <w:instrText xml:space="preserve"> PAGE  \* MERGEFORMAT </w:instrText>
                    </w:r>
                    <w:r>
                      <w:fldChar w:fldCharType="separate"/>
                    </w:r>
                    <w:r>
                      <w:t>1</w:t>
                    </w:r>
                    <w:r>
                      <w:fldChar w:fldCharType="end"/>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hint="default"/>
                              <w:lang w:val="en-US"/>
                            </w:rPr>
                            <w:id w:val="147461671"/>
                            <w:showingPlcHdr/>
                          </w:sdtPr>
                          <w:sdtEndPr>
                            <w:rPr>
                              <w:rFonts w:hint="default"/>
                              <w:lang w:val="en-US"/>
                            </w:rPr>
                          </w:sdtEndPr>
                          <w:sdtContent>
                            <w:p w14:paraId="150385F6">
                              <w:pPr>
                                <w:pStyle w:val="9"/>
                                <w:jc w:val="center"/>
                              </w:pPr>
                            </w:p>
                          </w:sdtContent>
                        </w:sdt>
                        <w:p w14:paraId="292071E5">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sdt>
                    <w:sdtPr>
                      <w:rPr>
                        <w:rFonts w:hint="default"/>
                        <w:lang w:val="en-US"/>
                      </w:rPr>
                      <w:id w:val="147461671"/>
                      <w:showingPlcHdr/>
                    </w:sdtPr>
                    <w:sdtEndPr>
                      <w:rPr>
                        <w:rFonts w:hint="default"/>
                        <w:lang w:val="en-US"/>
                      </w:rPr>
                    </w:sdtEndPr>
                    <w:sdtContent>
                      <w:p w14:paraId="150385F6">
                        <w:pPr>
                          <w:pStyle w:val="9"/>
                          <w:jc w:val="center"/>
                        </w:pPr>
                      </w:p>
                    </w:sdtContent>
                  </w:sdt>
                  <w:p w14:paraId="292071E5">
                    <w:pPr>
                      <w:pStyle w:val="2"/>
                    </w:pPr>
                  </w:p>
                </w:txbxContent>
              </v:textbox>
            </v:shape>
          </w:pict>
        </mc:Fallback>
      </mc:AlternateContent>
    </w:r>
  </w:p>
  <w:p w14:paraId="3077F2A7">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4620"/>
    </w:sdtPr>
    <w:sdtContent>
      <w:p w14:paraId="2275A5BA">
        <w:pPr>
          <w:pStyle w:val="9"/>
          <w:jc w:val="center"/>
        </w:pPr>
        <w:r>
          <w:fldChar w:fldCharType="begin"/>
        </w:r>
        <w:r>
          <w:instrText xml:space="preserve">PAGE   \* MERGEFORMAT</w:instrText>
        </w:r>
        <w:r>
          <w:fldChar w:fldCharType="separate"/>
        </w:r>
        <w:r>
          <w:rPr>
            <w:lang w:val="zh-CN"/>
          </w:rPr>
          <w:t>1</w:t>
        </w:r>
        <w:r>
          <w:fldChar w:fldCharType="end"/>
        </w:r>
      </w:p>
    </w:sdtContent>
  </w:sdt>
  <w:p w14:paraId="280A2ADA">
    <w:pPr>
      <w:pStyle w:val="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758BAA">
    <w:pPr>
      <w:pStyle w:val="9"/>
      <w:jc w:val="both"/>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hint="default"/>
                              <w:lang w:val="en-US"/>
                            </w:rPr>
                            <w:id w:val="147456163"/>
                            <w:showingPlcHdr/>
                          </w:sdtPr>
                          <w:sdtEndPr>
                            <w:rPr>
                              <w:rFonts w:hint="default"/>
                              <w:lang w:val="en-US"/>
                            </w:rPr>
                          </w:sdtEndPr>
                          <w:sdtContent>
                            <w:p w14:paraId="1EBF99BA">
                              <w:pPr>
                                <w:pStyle w:val="9"/>
                                <w:jc w:val="center"/>
                              </w:pPr>
                            </w:p>
                          </w:sdtContent>
                        </w:sdt>
                        <w:p w14:paraId="273AA6CB">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sdt>
                    <w:sdtPr>
                      <w:rPr>
                        <w:rFonts w:hint="default"/>
                        <w:lang w:val="en-US"/>
                      </w:rPr>
                      <w:id w:val="147456163"/>
                      <w:showingPlcHdr/>
                    </w:sdtPr>
                    <w:sdtEndPr>
                      <w:rPr>
                        <w:rFonts w:hint="default"/>
                        <w:lang w:val="en-US"/>
                      </w:rPr>
                    </w:sdtEndPr>
                    <w:sdtContent>
                      <w:p w14:paraId="1EBF99BA">
                        <w:pPr>
                          <w:pStyle w:val="9"/>
                          <w:jc w:val="center"/>
                        </w:pPr>
                      </w:p>
                    </w:sdtContent>
                  </w:sdt>
                  <w:p w14:paraId="273AA6CB">
                    <w:pPr>
                      <w:pStyle w:val="2"/>
                    </w:pPr>
                  </w:p>
                </w:txbxContent>
              </v:textbox>
            </v:shape>
          </w:pict>
        </mc:Fallback>
      </mc:AlternateContent>
    </w:r>
  </w:p>
  <w:p w14:paraId="65B031D7">
    <w:pPr>
      <w:pStyle w:val="9"/>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1A4756">
    <w:pPr>
      <w:pStyle w:val="9"/>
      <w:jc w:val="both"/>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16CF49">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3416CF49">
                    <w:pPr>
                      <w:pStyle w:val="9"/>
                    </w:pPr>
                    <w:r>
                      <w:fldChar w:fldCharType="begin"/>
                    </w:r>
                    <w:r>
                      <w:instrText xml:space="preserve"> PAGE  \* MERGEFORMAT </w:instrText>
                    </w:r>
                    <w:r>
                      <w:fldChar w:fldCharType="separate"/>
                    </w:r>
                    <w:r>
                      <w:t>1</w:t>
                    </w:r>
                    <w:r>
                      <w:fldChar w:fldCharType="end"/>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hint="default"/>
                              <w:lang w:val="en-US"/>
                            </w:rPr>
                            <w:id w:val="147468417"/>
                            <w:showingPlcHdr/>
                          </w:sdtPr>
                          <w:sdtEndPr>
                            <w:rPr>
                              <w:rFonts w:hint="default"/>
                              <w:lang w:val="en-US"/>
                            </w:rPr>
                          </w:sdtEndPr>
                          <w:sdtContent>
                            <w:p w14:paraId="179AF196">
                              <w:pPr>
                                <w:pStyle w:val="9"/>
                                <w:jc w:val="center"/>
                              </w:pPr>
                            </w:p>
                          </w:sdtContent>
                        </w:sdt>
                        <w:p w14:paraId="1F65665E">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sdt>
                    <w:sdtPr>
                      <w:rPr>
                        <w:rFonts w:hint="default"/>
                        <w:lang w:val="en-US"/>
                      </w:rPr>
                      <w:id w:val="147468417"/>
                      <w:showingPlcHdr/>
                    </w:sdtPr>
                    <w:sdtEndPr>
                      <w:rPr>
                        <w:rFonts w:hint="default"/>
                        <w:lang w:val="en-US"/>
                      </w:rPr>
                    </w:sdtEndPr>
                    <w:sdtContent>
                      <w:p w14:paraId="179AF196">
                        <w:pPr>
                          <w:pStyle w:val="9"/>
                          <w:jc w:val="center"/>
                        </w:pPr>
                      </w:p>
                    </w:sdtContent>
                  </w:sdt>
                  <w:p w14:paraId="1F65665E">
                    <w:pPr>
                      <w:pStyle w:val="2"/>
                    </w:pPr>
                  </w:p>
                </w:txbxContent>
              </v:textbox>
            </v:shape>
          </w:pict>
        </mc:Fallback>
      </mc:AlternateContent>
    </w:r>
  </w:p>
  <w:p w14:paraId="504537DF">
    <w:pPr>
      <w:pStyle w:val="9"/>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57707"/>
    </w:sdtPr>
    <w:sdtContent>
      <w:p w14:paraId="444D3C56">
        <w:pPr>
          <w:pStyle w:val="9"/>
          <w:jc w:val="center"/>
        </w:pPr>
        <w:r>
          <w:fldChar w:fldCharType="begin"/>
        </w:r>
        <w:r>
          <w:instrText xml:space="preserve">PAGE   \* MERGEFORMAT</w:instrText>
        </w:r>
        <w:r>
          <w:fldChar w:fldCharType="separate"/>
        </w:r>
        <w:r>
          <w:rPr>
            <w:lang w:val="zh-CN"/>
          </w:rPr>
          <w:t>1</w:t>
        </w:r>
        <w:r>
          <w:fldChar w:fldCharType="end"/>
        </w:r>
      </w:p>
    </w:sdtContent>
  </w:sdt>
  <w:p w14:paraId="456F3944">
    <w:pPr>
      <w:pStyle w:val="9"/>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7950"/>
    </w:sdtPr>
    <w:sdtContent>
      <w:p w14:paraId="73FC7C28">
        <w:pPr>
          <w:pStyle w:val="9"/>
          <w:jc w:val="center"/>
        </w:pPr>
        <w:r>
          <w:fldChar w:fldCharType="begin"/>
        </w:r>
        <w:r>
          <w:instrText xml:space="preserve">PAGE   \* MERGEFORMAT</w:instrText>
        </w:r>
        <w:r>
          <w:fldChar w:fldCharType="separate"/>
        </w:r>
        <w:r>
          <w:rPr>
            <w:lang w:val="zh-CN"/>
          </w:rPr>
          <w:t>1</w:t>
        </w:r>
        <w:r>
          <w:fldChar w:fldCharType="end"/>
        </w:r>
      </w:p>
    </w:sdtContent>
  </w:sdt>
  <w:p w14:paraId="246DE4F3">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715B82"/>
    <w:multiLevelType w:val="singleLevel"/>
    <w:tmpl w:val="D2715B82"/>
    <w:lvl w:ilvl="0" w:tentative="0">
      <w:start w:val="2"/>
      <w:numFmt w:val="decimal"/>
      <w:suff w:val="nothing"/>
      <w:lvlText w:val="（%1）"/>
      <w:lvlJc w:val="left"/>
      <w:pPr>
        <w:ind w:left="-10"/>
      </w:pPr>
    </w:lvl>
  </w:abstractNum>
  <w:abstractNum w:abstractNumId="1">
    <w:nsid w:val="13096EE8"/>
    <w:multiLevelType w:val="singleLevel"/>
    <w:tmpl w:val="13096EE8"/>
    <w:lvl w:ilvl="0" w:tentative="0">
      <w:start w:val="2"/>
      <w:numFmt w:val="decimal"/>
      <w:suff w:val="nothing"/>
      <w:lvlText w:val="（%1）"/>
      <w:lvlJc w:val="left"/>
    </w:lvl>
  </w:abstractNum>
  <w:abstractNum w:abstractNumId="2">
    <w:nsid w:val="1D0185A5"/>
    <w:multiLevelType w:val="singleLevel"/>
    <w:tmpl w:val="1D0185A5"/>
    <w:lvl w:ilvl="0" w:tentative="0">
      <w:start w:val="4"/>
      <w:numFmt w:val="chineseCounting"/>
      <w:suff w:val="nothing"/>
      <w:lvlText w:val="（%1）"/>
      <w:lvlJc w:val="left"/>
      <w:rPr>
        <w:rFonts w:hint="eastAsia"/>
      </w:rPr>
    </w:lvl>
  </w:abstractNum>
  <w:abstractNum w:abstractNumId="3">
    <w:nsid w:val="5250C8A9"/>
    <w:multiLevelType w:val="singleLevel"/>
    <w:tmpl w:val="5250C8A9"/>
    <w:lvl w:ilvl="0" w:tentative="0">
      <w:start w:val="1"/>
      <w:numFmt w:val="decimal"/>
      <w:suff w:val="nothing"/>
      <w:lvlText w:val="（%1）"/>
      <w:lvlJc w:val="left"/>
    </w:lvl>
  </w:abstractNum>
  <w:abstractNum w:abstractNumId="4">
    <w:nsid w:val="610671B8"/>
    <w:multiLevelType w:val="multilevel"/>
    <w:tmpl w:val="610671B8"/>
    <w:lvl w:ilvl="0" w:tentative="0">
      <w:start w:val="1"/>
      <w:numFmt w:val="chineseCountingThousand"/>
      <w:pStyle w:val="3"/>
      <w:suff w:val="nothing"/>
      <w:lvlText w:val="%1、"/>
      <w:lvlJc w:val="left"/>
      <w:pPr>
        <w:ind w:left="425" w:hanging="425"/>
      </w:pPr>
      <w:rPr>
        <w:rFonts w:ascii="Times New Roman" w:hAnsi="Times New Roman" w:cs="Times New Roman"/>
        <w:b w:val="0"/>
        <w:bCs w:val="0"/>
        <w:i w:val="0"/>
        <w:iCs w:val="0"/>
        <w:caps w:val="0"/>
        <w:smallCaps w:val="0"/>
        <w:strike w:val="0"/>
        <w:dstrike w:val="0"/>
        <w:vanish w:val="0"/>
        <w:color w:val="000000"/>
        <w:spacing w:val="0"/>
        <w:kern w:val="0"/>
        <w:position w:val="0"/>
        <w:u w:val="none"/>
        <w:vertAlign w:val="baseline"/>
        <w:lang w:val="zh-CN"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1" w:tentative="0">
      <w:start w:val="1"/>
      <w:numFmt w:val="chineseCountingThousand"/>
      <w:pStyle w:val="5"/>
      <w:suff w:val="nothing"/>
      <w:lvlText w:val="（%2）"/>
      <w:lvlJc w:val="left"/>
      <w:pPr>
        <w:ind w:left="979" w:hanging="567"/>
      </w:pPr>
      <w:rPr>
        <w:rFonts w:hint="eastAsia"/>
      </w:rPr>
    </w:lvl>
    <w:lvl w:ilvl="2" w:tentative="0">
      <w:start w:val="1"/>
      <w:numFmt w:val="decimal"/>
      <w:pStyle w:val="6"/>
      <w:suff w:val="nothing"/>
      <w:lvlText w:val="%3. "/>
      <w:lvlJc w:val="left"/>
      <w:pPr>
        <w:ind w:left="992" w:hanging="567"/>
      </w:pPr>
      <w:rPr>
        <w:rFonts w:hint="eastAsia"/>
      </w:rPr>
    </w:lvl>
    <w:lvl w:ilvl="3" w:tentative="0">
      <w:start w:val="1"/>
      <w:numFmt w:val="decimal"/>
      <w:suff w:val="nothing"/>
      <w:lvlText w:val="（%4）"/>
      <w:lvlJc w:val="left"/>
      <w:pPr>
        <w:ind w:left="992" w:hanging="425"/>
      </w:pPr>
      <w:rPr>
        <w:rFonts w:hint="eastAsia"/>
      </w:rPr>
    </w:lvl>
    <w:lvl w:ilvl="4" w:tentative="0">
      <w:start w:val="1"/>
      <w:numFmt w:val="decimal"/>
      <w:suff w:val="nothing"/>
      <w:lvlText w:val="%5）"/>
      <w:lvlJc w:val="left"/>
      <w:pPr>
        <w:ind w:left="992" w:hanging="113"/>
      </w:pPr>
      <w:rPr>
        <w:rFonts w:hint="eastAsia"/>
      </w:rPr>
    </w:lvl>
    <w:lvl w:ilvl="5" w:tentative="0">
      <w:start w:val="1"/>
      <w:numFmt w:val="decimal"/>
      <w:suff w:val="nothing"/>
      <w:lvlText w:val="附件%6 "/>
      <w:lvlJc w:val="left"/>
      <w:pPr>
        <w:ind w:left="0" w:firstLine="0"/>
      </w:pPr>
      <w:rPr>
        <w:rFonts w:hint="eastAsia"/>
      </w:rPr>
    </w:lvl>
    <w:lvl w:ilvl="6" w:tentative="0">
      <w:start w:val="1"/>
      <w:numFmt w:val="chineseCountingThousand"/>
      <w:suff w:val="nothing"/>
      <w:lvlText w:val="%7、"/>
      <w:lvlJc w:val="left"/>
      <w:pPr>
        <w:ind w:left="992" w:hanging="567"/>
      </w:pPr>
      <w:rPr>
        <w:rFonts w:hint="eastAsia"/>
      </w:rPr>
    </w:lvl>
    <w:lvl w:ilvl="7" w:tentative="0">
      <w:start w:val="1"/>
      <w:numFmt w:val="chineseCountingThousand"/>
      <w:suff w:val="nothing"/>
      <w:lvlText w:val="（%8）"/>
      <w:lvlJc w:val="left"/>
      <w:pPr>
        <w:ind w:left="992" w:hanging="567"/>
      </w:pPr>
      <w:rPr>
        <w:rFonts w:hint="eastAsia"/>
      </w:rPr>
    </w:lvl>
    <w:lvl w:ilvl="8" w:tentative="0">
      <w:start w:val="1"/>
      <w:numFmt w:val="decimal"/>
      <w:suff w:val="nothing"/>
      <w:lvlText w:val="%9. "/>
      <w:lvlJc w:val="left"/>
      <w:pPr>
        <w:ind w:left="992" w:hanging="567"/>
      </w:pPr>
      <w:rPr>
        <w:rFonts w:hint="eastAsia"/>
      </w:rPr>
    </w:lvl>
  </w:abstractNum>
  <w:num w:numId="1">
    <w:abstractNumId w:val="4"/>
  </w:num>
  <w:num w:numId="2">
    <w:abstractNumId w:val="2"/>
  </w:num>
  <w:num w:numId="3">
    <w:abstractNumId w:val="1"/>
  </w:num>
  <w:num w:numId="4">
    <w:abstractNumId w:val="0"/>
  </w:num>
  <w:num w:numId="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WPS_10036724">
    <w15:presenceInfo w15:providerId="WPS Office" w15:userId="15441747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zNTUyYmE5YzJmZGYwMWFlNzFhNWY2NTU0NDJiYWEifQ=="/>
  </w:docVars>
  <w:rsids>
    <w:rsidRoot w:val="00000000"/>
    <w:rsid w:val="06D32E0D"/>
    <w:rsid w:val="0C157878"/>
    <w:rsid w:val="1B0109B2"/>
    <w:rsid w:val="22523F60"/>
    <w:rsid w:val="22D005E6"/>
    <w:rsid w:val="39047336"/>
    <w:rsid w:val="3BF02E03"/>
    <w:rsid w:val="56CB7D48"/>
    <w:rsid w:val="5D611D56"/>
    <w:rsid w:val="60801E1B"/>
    <w:rsid w:val="6C417D7A"/>
    <w:rsid w:val="72FE1E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1" w:semiHidden="0" w:name="heading 2"/>
    <w:lsdException w:qFormat="1" w:unhideWhenUsed="0" w:uiPriority="2"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4"/>
    <w:next w:val="4"/>
    <w:qFormat/>
    <w:uiPriority w:val="0"/>
    <w:pPr>
      <w:numPr>
        <w:ilvl w:val="0"/>
        <w:numId w:val="1"/>
      </w:numPr>
      <w:spacing w:before="120" w:after="60"/>
      <w:ind w:firstLine="0" w:firstLineChars="0"/>
      <w:jc w:val="left"/>
      <w:outlineLvl w:val="0"/>
    </w:pPr>
    <w:rPr>
      <w:rFonts w:eastAsia="黑体"/>
      <w:bCs/>
      <w:kern w:val="44"/>
      <w:szCs w:val="44"/>
    </w:rPr>
  </w:style>
  <w:style w:type="paragraph" w:styleId="5">
    <w:name w:val="heading 2"/>
    <w:basedOn w:val="4"/>
    <w:next w:val="4"/>
    <w:qFormat/>
    <w:uiPriority w:val="1"/>
    <w:pPr>
      <w:keepNext/>
      <w:keepLines/>
      <w:numPr>
        <w:ilvl w:val="1"/>
        <w:numId w:val="1"/>
      </w:numPr>
      <w:adjustRightInd w:val="0"/>
      <w:spacing w:before="120" w:after="60"/>
      <w:ind w:left="0" w:firstLine="200"/>
      <w:outlineLvl w:val="1"/>
    </w:pPr>
    <w:rPr>
      <w:rFonts w:eastAsia="楷体_GB2312" w:cstheme="majorBidi"/>
      <w:b/>
      <w:bCs/>
      <w:szCs w:val="32"/>
    </w:rPr>
  </w:style>
  <w:style w:type="paragraph" w:styleId="6">
    <w:name w:val="heading 3"/>
    <w:basedOn w:val="4"/>
    <w:next w:val="4"/>
    <w:qFormat/>
    <w:uiPriority w:val="2"/>
    <w:pPr>
      <w:keepNext/>
      <w:keepLines/>
      <w:numPr>
        <w:ilvl w:val="2"/>
        <w:numId w:val="1"/>
      </w:numPr>
      <w:adjustRightInd w:val="0"/>
      <w:spacing w:before="120" w:after="60"/>
      <w:ind w:left="0" w:firstLine="200"/>
      <w:outlineLvl w:val="2"/>
    </w:pPr>
    <w:rPr>
      <w:bCs/>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rPr>
      <w:rFonts w:ascii="Times New Roman" w:hAnsi="Times New Roman"/>
    </w:rPr>
  </w:style>
  <w:style w:type="paragraph" w:customStyle="1" w:styleId="4">
    <w:name w:val="汇政正文"/>
    <w:basedOn w:val="1"/>
    <w:qFormat/>
    <w:uiPriority w:val="3"/>
    <w:pPr>
      <w:spacing w:line="600" w:lineRule="exact"/>
      <w:ind w:firstLine="640" w:firstLineChars="200"/>
    </w:pPr>
    <w:rPr>
      <w:rFonts w:ascii="Times New Roman" w:hAnsi="Times New Roman" w:eastAsia="仿宋_GB2312" w:cs="Times New Roman"/>
      <w:kern w:val="0"/>
      <w:sz w:val="32"/>
      <w:szCs w:val="28"/>
      <w:lang w:val="zh-CN"/>
    </w:rPr>
  </w:style>
  <w:style w:type="paragraph" w:styleId="7">
    <w:name w:val="annotation text"/>
    <w:basedOn w:val="1"/>
    <w:unhideWhenUsed/>
    <w:qFormat/>
    <w:uiPriority w:val="99"/>
    <w:pPr>
      <w:jc w:val="left"/>
    </w:pPr>
  </w:style>
  <w:style w:type="paragraph" w:styleId="8">
    <w:name w:val="Body Text"/>
    <w:basedOn w:val="1"/>
    <w:semiHidden/>
    <w:qFormat/>
    <w:uiPriority w:val="0"/>
    <w:rPr>
      <w:rFonts w:ascii="Arial" w:hAnsi="Arial" w:eastAsia="Arial" w:cs="Arial"/>
      <w:sz w:val="21"/>
      <w:szCs w:val="21"/>
      <w:lang w:val="en-US" w:eastAsia="en-US" w:bidi="ar-SA"/>
    </w:rPr>
  </w:style>
  <w:style w:type="paragraph" w:styleId="9">
    <w:name w:val="footer"/>
    <w:basedOn w:val="1"/>
    <w:unhideWhenUsed/>
    <w:qFormat/>
    <w:uiPriority w:val="99"/>
    <w:pPr>
      <w:tabs>
        <w:tab w:val="center" w:pos="4153"/>
        <w:tab w:val="right" w:pos="8306"/>
      </w:tabs>
      <w:snapToGrid w:val="0"/>
      <w:jc w:val="left"/>
    </w:pPr>
    <w:rPr>
      <w:rFonts w:ascii="Calibri" w:hAnsi="Calibri" w:eastAsia="宋体" w:cs="Times New Roman"/>
      <w:sz w:val="18"/>
      <w:szCs w:val="18"/>
    </w:rPr>
  </w:style>
  <w:style w:type="paragraph" w:customStyle="1" w:styleId="12">
    <w:name w:val="汇政图表名"/>
    <w:basedOn w:val="1"/>
    <w:qFormat/>
    <w:uiPriority w:val="4"/>
    <w:pPr>
      <w:spacing w:before="60" w:after="60"/>
      <w:jc w:val="center"/>
    </w:pPr>
    <w:rPr>
      <w:rFonts w:ascii="Times New Roman" w:hAnsi="Times New Roman" w:eastAsia="仿宋_GB2312" w:cs="Times New Roman"/>
      <w:b/>
      <w:kern w:val="0"/>
      <w:sz w:val="24"/>
      <w:szCs w:val="28"/>
    </w:rPr>
  </w:style>
  <w:style w:type="character" w:customStyle="1" w:styleId="13">
    <w:name w:val="font51"/>
    <w:basedOn w:val="11"/>
    <w:qFormat/>
    <w:uiPriority w:val="0"/>
    <w:rPr>
      <w:rFonts w:hint="default" w:ascii="Times New Roman" w:hAnsi="Times New Roman" w:cs="Times New Roman"/>
      <w:b/>
      <w:bCs/>
      <w:color w:val="000000"/>
      <w:sz w:val="22"/>
      <w:szCs w:val="22"/>
      <w:u w:val="none"/>
    </w:rPr>
  </w:style>
  <w:style w:type="character" w:customStyle="1" w:styleId="14">
    <w:name w:val="font01"/>
    <w:basedOn w:val="11"/>
    <w:qFormat/>
    <w:uiPriority w:val="0"/>
    <w:rPr>
      <w:rFonts w:hint="eastAsia" w:ascii="宋体" w:hAnsi="宋体" w:eastAsia="宋体" w:cs="宋体"/>
      <w:b/>
      <w:bCs/>
      <w:color w:val="000000"/>
      <w:sz w:val="22"/>
      <w:szCs w:val="22"/>
      <w:u w:val="none"/>
    </w:rPr>
  </w:style>
  <w:style w:type="character" w:customStyle="1" w:styleId="15">
    <w:name w:val="font21"/>
    <w:basedOn w:val="11"/>
    <w:qFormat/>
    <w:uiPriority w:val="0"/>
    <w:rPr>
      <w:rFonts w:hint="eastAsia" w:ascii="宋体" w:hAnsi="宋体" w:eastAsia="宋体" w:cs="宋体"/>
      <w:color w:val="000000"/>
      <w:sz w:val="20"/>
      <w:szCs w:val="20"/>
      <w:u w:val="none"/>
    </w:rPr>
  </w:style>
  <w:style w:type="paragraph" w:customStyle="1" w:styleId="16">
    <w:name w:val="闻政图表名"/>
    <w:basedOn w:val="1"/>
    <w:qFormat/>
    <w:uiPriority w:val="4"/>
    <w:pPr>
      <w:spacing w:before="60" w:after="60"/>
      <w:jc w:val="center"/>
    </w:pPr>
    <w:rPr>
      <w:rFonts w:ascii="Times New Roman" w:hAnsi="Times New Roman" w:eastAsia="仿宋_GB2312" w:cs="Times New Roman"/>
      <w:b/>
      <w:kern w:val="0"/>
      <w:sz w:val="24"/>
      <w:szCs w:val="28"/>
    </w:rPr>
  </w:style>
  <w:style w:type="paragraph" w:customStyle="1" w:styleId="17">
    <w:name w:val="汇政页码"/>
    <w:qFormat/>
    <w:uiPriority w:val="6"/>
    <w:pPr>
      <w:jc w:val="center"/>
    </w:pPr>
    <w:rPr>
      <w:rFonts w:ascii="Times New Roman" w:hAnsi="Times New Roman" w:eastAsia="Times New Roman" w:cs="Times New Roman"/>
      <w:sz w:val="21"/>
      <w:szCs w:val="28"/>
      <w:lang w:val="en-US" w:eastAsia="zh-CN" w:bidi="ar-SA"/>
    </w:rPr>
  </w:style>
  <w:style w:type="character" w:customStyle="1" w:styleId="18">
    <w:name w:val="font11"/>
    <w:basedOn w:val="11"/>
    <w:qFormat/>
    <w:uiPriority w:val="0"/>
    <w:rPr>
      <w:rFonts w:hint="eastAsia" w:ascii="仿宋" w:hAnsi="仿宋" w:eastAsia="仿宋" w:cs="仿宋"/>
      <w:b/>
      <w:bCs/>
      <w:color w:val="000000"/>
      <w:sz w:val="22"/>
      <w:szCs w:val="22"/>
      <w:u w:val="none"/>
    </w:rPr>
  </w:style>
  <w:style w:type="paragraph" w:customStyle="1" w:styleId="19">
    <w:name w:val="常用样式（方正仿宋简）"/>
    <w:basedOn w:val="1"/>
    <w:next w:val="1"/>
    <w:qFormat/>
    <w:uiPriority w:val="0"/>
    <w:pPr>
      <w:spacing w:line="560" w:lineRule="exact"/>
      <w:ind w:firstLine="640" w:firstLineChars="200"/>
    </w:pPr>
    <w:rPr>
      <w:rFonts w:eastAsia="方正仿宋简体"/>
      <w:sz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microsoft.com/office/2011/relationships/people" Target="people.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164</Pages>
  <Words>228</Words>
  <Characters>261</Characters>
  <Lines>0</Lines>
  <Paragraphs>0</Paragraphs>
  <TotalTime>38</TotalTime>
  <ScaleCrop>false</ScaleCrop>
  <LinksUpToDate>false</LinksUpToDate>
  <CharactersWithSpaces>271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2025-08-04T01:47:28Z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C2CA6E5948A54483BD202D6ABEA90335_12</vt:lpwstr>
  </property>
  <property fmtid="{D5CDD505-2E9C-101B-9397-08002B2CF9AE}" pid="4" name="KSOTemplateDocerSaveRecord">
    <vt:lpwstr>eyJoZGlkIjoiZmY1OGYzNzUyNmZiYTFmMjA5NjFmNGE5ZTM5MzFmNGIifQ==</vt:lpwstr>
  </property>
</Properties>
</file>