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573"/>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遂宁市船山区人民政府</w:t>
      </w:r>
    </w:p>
    <w:p>
      <w:pPr>
        <w:keepNext w:val="0"/>
        <w:keepLines w:val="0"/>
        <w:pageBreakBefore w:val="0"/>
        <w:widowControl w:val="0"/>
        <w:kinsoku/>
        <w:wordWrap/>
        <w:overflowPunct/>
        <w:topLinePunct w:val="0"/>
        <w:autoSpaceDE/>
        <w:autoSpaceDN/>
        <w:bidi w:val="0"/>
        <w:adjustRightInd/>
        <w:snapToGrid/>
        <w:spacing w:line="600" w:lineRule="exact"/>
        <w:ind w:firstLine="573"/>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   收   土   地   公   告</w:t>
      </w:r>
    </w:p>
    <w:p>
      <w:pPr>
        <w:spacing w:line="600" w:lineRule="exact"/>
        <w:ind w:firstLine="573"/>
        <w:jc w:val="center"/>
        <w:rPr>
          <w:rFonts w:eastAsia="仿宋_GB2312"/>
          <w:sz w:val="11"/>
          <w:szCs w:val="11"/>
        </w:rPr>
      </w:pPr>
    </w:p>
    <w:p>
      <w:pPr>
        <w:keepNext w:val="0"/>
        <w:keepLines w:val="0"/>
        <w:pageBreakBefore w:val="0"/>
        <w:kinsoku/>
        <w:wordWrap/>
        <w:overflowPunct/>
        <w:topLinePunct w:val="0"/>
        <w:autoSpaceDE/>
        <w:autoSpaceDN/>
        <w:bidi w:val="0"/>
        <w:adjustRightInd/>
        <w:spacing w:line="600" w:lineRule="exact"/>
        <w:ind w:firstLine="573"/>
        <w:jc w:val="center"/>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遂船府公</w:t>
      </w:r>
      <w:r>
        <w:rPr>
          <w:rFonts w:hint="default" w:eastAsia="仿宋_GB2312"/>
          <w:sz w:val="32"/>
          <w:szCs w:val="32"/>
          <w:lang w:val="en" w:eastAsia="zh-CN"/>
        </w:rPr>
        <w:t>[2023]10</w:t>
      </w:r>
      <w:r>
        <w:rPr>
          <w:rFonts w:hint="eastAsia" w:eastAsia="仿宋_GB2312"/>
          <w:sz w:val="32"/>
          <w:szCs w:val="32"/>
          <w:lang w:val="en-US" w:eastAsia="zh-CN"/>
        </w:rPr>
        <w:t>8</w:t>
      </w:r>
      <w:r>
        <w:rPr>
          <w:rFonts w:hint="eastAsia" w:eastAsia="仿宋_GB2312"/>
          <w:sz w:val="32"/>
          <w:szCs w:val="32"/>
          <w:lang w:val="en" w:eastAsia="zh-CN"/>
        </w:rPr>
        <w:t>号</w:t>
      </w:r>
      <w:r>
        <w:rPr>
          <w:rFonts w:eastAsia="仿宋_GB2312"/>
          <w:sz w:val="32"/>
          <w:szCs w:val="32"/>
        </w:rPr>
        <w:t xml:space="preserve">                                      </w:t>
      </w:r>
      <w:r>
        <w:rPr>
          <w:rFonts w:hint="eastAsia"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eastAsia="仿宋_GB2312"/>
          <w:sz w:val="32"/>
          <w:szCs w:val="32"/>
          <w:lang w:eastAsia="zh-CN"/>
        </w:rPr>
      </w:pPr>
      <w:r>
        <w:rPr>
          <w:rFonts w:eastAsia="仿宋_GB2312"/>
          <w:sz w:val="32"/>
          <w:szCs w:val="32"/>
        </w:rPr>
        <w:t>根据《中华人民共和国土地管理法》等法律法规的规定，现</w:t>
      </w:r>
      <w:r>
        <w:rPr>
          <w:rFonts w:hint="eastAsia" w:eastAsia="仿宋_GB2312"/>
          <w:sz w:val="32"/>
          <w:szCs w:val="32"/>
        </w:rPr>
        <w:t>将遂宁市20</w:t>
      </w:r>
      <w:r>
        <w:rPr>
          <w:rFonts w:hint="eastAsia" w:eastAsia="仿宋_GB2312"/>
          <w:sz w:val="32"/>
          <w:szCs w:val="32"/>
          <w:lang w:val="en-US" w:eastAsia="zh-CN"/>
        </w:rPr>
        <w:t>22</w:t>
      </w:r>
      <w:r>
        <w:rPr>
          <w:rFonts w:hint="eastAsia" w:eastAsia="仿宋_GB2312"/>
          <w:sz w:val="32"/>
          <w:szCs w:val="32"/>
        </w:rPr>
        <w:t>年第</w:t>
      </w:r>
      <w:r>
        <w:rPr>
          <w:rFonts w:hint="eastAsia" w:eastAsia="仿宋_GB2312"/>
          <w:sz w:val="32"/>
          <w:szCs w:val="32"/>
          <w:lang w:val="en-US" w:eastAsia="zh-CN"/>
        </w:rPr>
        <w:t>18批次</w:t>
      </w:r>
      <w:r>
        <w:rPr>
          <w:rFonts w:hint="eastAsia" w:eastAsia="仿宋_GB2312"/>
          <w:sz w:val="32"/>
          <w:szCs w:val="32"/>
        </w:rPr>
        <w:t>建设用地</w:t>
      </w:r>
      <w:r>
        <w:rPr>
          <w:rFonts w:eastAsia="仿宋_GB2312"/>
          <w:sz w:val="32"/>
          <w:szCs w:val="32"/>
        </w:rPr>
        <w:t>征收土地的有关事项公告如下</w:t>
      </w:r>
      <w:r>
        <w:rPr>
          <w:rFonts w:hint="eastAsia" w:eastAsia="仿宋_GB2312"/>
          <w:sz w:val="32"/>
          <w:szCs w:val="32"/>
          <w:lang w:eastAsia="zh-CN"/>
        </w:rPr>
        <w:t>。</w:t>
      </w:r>
      <w:bookmarkStart w:id="2" w:name="_GoBack"/>
      <w:bookmarkEnd w:id="2"/>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一、征地批准机关、批准文号、批准时间和批准用途</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left"/>
        <w:textAlignment w:val="auto"/>
        <w:outlineLvl w:val="9"/>
        <w:rPr>
          <w:rFonts w:eastAsia="仿宋_GB2312"/>
          <w:sz w:val="32"/>
          <w:szCs w:val="32"/>
        </w:rPr>
      </w:pPr>
      <w:r>
        <w:rPr>
          <w:rFonts w:hint="eastAsia" w:eastAsia="仿宋_GB2312"/>
          <w:sz w:val="32"/>
          <w:szCs w:val="32"/>
        </w:rPr>
        <w:t>四川省人民政府</w:t>
      </w:r>
      <w:r>
        <w:rPr>
          <w:rFonts w:hint="eastAsia" w:eastAsia="仿宋_GB2312"/>
          <w:sz w:val="32"/>
          <w:szCs w:val="32"/>
          <w:lang w:eastAsia="zh-CN"/>
        </w:rPr>
        <w:t>于</w:t>
      </w:r>
      <w:r>
        <w:rPr>
          <w:rFonts w:hint="eastAsia" w:eastAsia="仿宋_GB2312"/>
          <w:sz w:val="32"/>
          <w:szCs w:val="32"/>
          <w:lang w:val="en-US" w:eastAsia="zh-CN"/>
        </w:rPr>
        <w:t>2023年4月23日</w:t>
      </w:r>
      <w:r>
        <w:rPr>
          <w:rFonts w:hint="eastAsia" w:eastAsia="仿宋_GB2312"/>
          <w:sz w:val="32"/>
          <w:szCs w:val="32"/>
        </w:rPr>
        <w:t>以《关于遂宁市20</w:t>
      </w:r>
      <w:r>
        <w:rPr>
          <w:rFonts w:hint="eastAsia" w:eastAsia="仿宋_GB2312"/>
          <w:sz w:val="32"/>
          <w:szCs w:val="32"/>
          <w:lang w:val="en-US" w:eastAsia="zh-CN"/>
        </w:rPr>
        <w:t>22</w:t>
      </w:r>
      <w:r>
        <w:rPr>
          <w:rFonts w:hint="eastAsia" w:eastAsia="仿宋_GB2312"/>
          <w:sz w:val="32"/>
          <w:szCs w:val="32"/>
        </w:rPr>
        <w:t>年第</w:t>
      </w:r>
      <w:r>
        <w:rPr>
          <w:rFonts w:hint="eastAsia" w:eastAsia="仿宋_GB2312"/>
          <w:sz w:val="32"/>
          <w:szCs w:val="32"/>
          <w:lang w:val="en-US" w:eastAsia="zh-CN"/>
        </w:rPr>
        <w:t>18批次</w:t>
      </w:r>
      <w:r>
        <w:rPr>
          <w:rFonts w:hint="eastAsia" w:eastAsia="仿宋_GB2312"/>
          <w:sz w:val="32"/>
          <w:szCs w:val="32"/>
        </w:rPr>
        <w:t>建设用地的批复》（川府土〔</w:t>
      </w:r>
      <w:r>
        <w:rPr>
          <w:rFonts w:eastAsia="仿宋_GB2312"/>
          <w:sz w:val="32"/>
          <w:szCs w:val="32"/>
        </w:rPr>
        <w:t>20</w:t>
      </w:r>
      <w:r>
        <w:rPr>
          <w:rFonts w:hint="eastAsia" w:eastAsia="仿宋_GB2312"/>
          <w:sz w:val="32"/>
          <w:szCs w:val="32"/>
          <w:lang w:val="en-US" w:eastAsia="zh-CN"/>
        </w:rPr>
        <w:t>23</w:t>
      </w:r>
      <w:r>
        <w:rPr>
          <w:rFonts w:hint="eastAsia" w:eastAsia="仿宋_GB2312"/>
          <w:sz w:val="32"/>
          <w:szCs w:val="32"/>
        </w:rPr>
        <w:t>〕</w:t>
      </w:r>
      <w:r>
        <w:rPr>
          <w:rFonts w:hint="eastAsia" w:eastAsia="仿宋_GB2312"/>
          <w:sz w:val="32"/>
          <w:szCs w:val="32"/>
          <w:lang w:val="en-US" w:eastAsia="zh-CN"/>
        </w:rPr>
        <w:t>761</w:t>
      </w:r>
      <w:r>
        <w:rPr>
          <w:rFonts w:hint="eastAsia" w:eastAsia="仿宋_GB2312"/>
          <w:sz w:val="32"/>
          <w:szCs w:val="32"/>
        </w:rPr>
        <w:t>号）文件批准同意征收集体土地，作为遂宁市20</w:t>
      </w:r>
      <w:r>
        <w:rPr>
          <w:rFonts w:hint="eastAsia" w:eastAsia="仿宋_GB2312"/>
          <w:sz w:val="32"/>
          <w:szCs w:val="32"/>
          <w:lang w:val="en-US" w:eastAsia="zh-CN"/>
        </w:rPr>
        <w:t>22</w:t>
      </w:r>
      <w:r>
        <w:rPr>
          <w:rFonts w:hint="eastAsia" w:eastAsia="仿宋_GB2312"/>
          <w:sz w:val="32"/>
          <w:szCs w:val="32"/>
        </w:rPr>
        <w:t>年第</w:t>
      </w:r>
      <w:r>
        <w:rPr>
          <w:rFonts w:hint="eastAsia" w:eastAsia="仿宋_GB2312"/>
          <w:sz w:val="32"/>
          <w:szCs w:val="32"/>
          <w:lang w:val="en-US" w:eastAsia="zh-CN"/>
        </w:rPr>
        <w:t>18批次</w:t>
      </w:r>
      <w:r>
        <w:rPr>
          <w:rFonts w:hint="eastAsia" w:eastAsia="仿宋_GB2312"/>
          <w:sz w:val="32"/>
          <w:szCs w:val="32"/>
        </w:rPr>
        <w:t>建设用地。</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left"/>
        <w:textAlignment w:val="auto"/>
        <w:outlineLvl w:val="9"/>
        <w:rPr>
          <w:rFonts w:eastAsia="黑体"/>
          <w:sz w:val="32"/>
          <w:szCs w:val="32"/>
        </w:rPr>
      </w:pPr>
      <w:r>
        <w:rPr>
          <w:rFonts w:eastAsia="黑体"/>
          <w:sz w:val="32"/>
          <w:szCs w:val="32"/>
        </w:rPr>
        <w:t>二、征收土地的位置和面积</w:t>
      </w:r>
    </w:p>
    <w:p>
      <w:pPr>
        <w:keepNext w:val="0"/>
        <w:keepLines w:val="0"/>
        <w:pageBreakBefore w:val="0"/>
        <w:widowControl w:val="0"/>
        <w:tabs>
          <w:tab w:val="left" w:pos="7395"/>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sz w:val="32"/>
          <w:lang w:eastAsia="zh-CN"/>
        </w:rPr>
      </w:pPr>
      <w:r>
        <w:rPr>
          <w:rFonts w:eastAsia="仿宋_GB2312"/>
          <w:sz w:val="32"/>
          <w:szCs w:val="32"/>
        </w:rPr>
        <w:t>本次征收</w:t>
      </w:r>
      <w:r>
        <w:rPr>
          <w:rFonts w:hint="default" w:eastAsia="仿宋_GB2312" w:cs="仿宋_GB2312"/>
          <w:sz w:val="32"/>
          <w:szCs w:val="32"/>
          <w:lang w:eastAsia="zh-CN"/>
        </w:rPr>
        <w:t>船山区</w:t>
      </w:r>
      <w:r>
        <w:rPr>
          <w:rFonts w:hint="eastAsia" w:eastAsia="仿宋_GB2312" w:cs="仿宋_GB2312"/>
          <w:sz w:val="32"/>
          <w:szCs w:val="32"/>
          <w:lang w:val="en-US" w:eastAsia="zh-CN"/>
        </w:rPr>
        <w:t>杨渡</w:t>
      </w:r>
      <w:r>
        <w:rPr>
          <w:rFonts w:hint="eastAsia" w:eastAsia="仿宋_GB2312" w:cs="仿宋_GB2312"/>
          <w:sz w:val="32"/>
          <w:szCs w:val="32"/>
          <w:lang w:eastAsia="zh-CN"/>
        </w:rPr>
        <w:t>街道二教寺社区</w:t>
      </w:r>
      <w:r>
        <w:rPr>
          <w:rFonts w:hint="eastAsia" w:eastAsia="仿宋_GB2312" w:cs="仿宋_GB2312"/>
          <w:sz w:val="32"/>
          <w:szCs w:val="32"/>
          <w:lang w:val="en-US" w:eastAsia="zh-CN"/>
        </w:rPr>
        <w:t>3、4、5、6组，歇马庙社区1、2、3、7组</w:t>
      </w:r>
      <w:r>
        <w:rPr>
          <w:rFonts w:hint="eastAsia" w:ascii="仿宋_GB2312" w:hAnsi="仿宋_GB2312" w:eastAsia="仿宋_GB2312" w:cs="仿宋_GB2312"/>
          <w:sz w:val="32"/>
          <w:szCs w:val="32"/>
          <w:lang w:val="en-US" w:eastAsia="zh-CN"/>
        </w:rPr>
        <w:t>；</w:t>
      </w:r>
      <w:r>
        <w:rPr>
          <w:rFonts w:hint="eastAsia" w:eastAsia="仿宋_GB2312" w:cs="仿宋_GB2312"/>
          <w:sz w:val="32"/>
          <w:szCs w:val="32"/>
          <w:lang w:val="en-US" w:eastAsia="zh-CN"/>
        </w:rPr>
        <w:t>永兴镇灵通村5、6、7、8、10、11组，清源村9组，旗山社区1、12组集体土地</w:t>
      </w:r>
      <w:r>
        <w:rPr>
          <w:rFonts w:hint="eastAsia" w:eastAsia="仿宋_GB2312" w:cs="仿宋_GB2312"/>
          <w:sz w:val="32"/>
          <w:szCs w:val="32"/>
          <w:lang w:eastAsia="zh-CN"/>
        </w:rPr>
        <w:t>，</w:t>
      </w:r>
      <w:r>
        <w:rPr>
          <w:rFonts w:eastAsia="仿宋_GB2312"/>
          <w:sz w:val="32"/>
        </w:rPr>
        <w:t>用地面积见下表</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宋体" w:eastAsia="仿宋_GB2312" w:cs="宋体"/>
          <w:b w:val="0"/>
          <w:bCs w:val="0"/>
          <w:kern w:val="0"/>
          <w:sz w:val="32"/>
          <w:szCs w:val="32"/>
          <w:lang w:val="en-US" w:eastAsia="zh-CN"/>
        </w:rPr>
      </w:pPr>
      <w:r>
        <w:rPr>
          <w:rFonts w:hint="eastAsia" w:ascii="黑体" w:hAnsi="宋体" w:eastAsia="黑体" w:cs="宋体"/>
          <w:b w:val="0"/>
          <w:bCs w:val="0"/>
          <w:kern w:val="0"/>
          <w:sz w:val="32"/>
          <w:szCs w:val="32"/>
        </w:rPr>
        <w:t>用地面积表</w:t>
      </w:r>
      <w:r>
        <w:rPr>
          <w:rFonts w:hint="eastAsia" w:ascii="仿宋_GB2312" w:hAnsi="宋体" w:eastAsia="仿宋_GB2312" w:cs="宋体"/>
          <w:b w:val="0"/>
          <w:bCs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360" w:firstLine="640" w:firstLineChars="200"/>
        <w:jc w:val="right"/>
        <w:textAlignment w:val="auto"/>
        <w:rPr>
          <w:rStyle w:val="8"/>
          <w:rFonts w:hint="eastAsia" w:ascii="仿宋_GB2312" w:hAnsi="宋体" w:eastAsia="仿宋_GB2312" w:cstheme="minorBidi"/>
          <w:color w:val="auto"/>
          <w:kern w:val="0"/>
          <w:sz w:val="22"/>
          <w:szCs w:val="22"/>
          <w:lang w:val="en-US" w:eastAsia="zh-CN"/>
        </w:rPr>
      </w:pPr>
      <w:r>
        <w:rPr>
          <w:rFonts w:hint="eastAsia" w:eastAsia="仿宋_GB2312"/>
          <w:sz w:val="32"/>
          <w:szCs w:val="32"/>
          <w:lang w:val="en-US" w:eastAsia="zh-CN"/>
        </w:rPr>
        <w:t xml:space="preserve"> </w:t>
      </w:r>
      <w:r>
        <w:rPr>
          <w:rStyle w:val="8"/>
          <w:rFonts w:hint="eastAsia" w:ascii="仿宋_GB2312" w:hAnsi="宋体" w:eastAsia="仿宋_GB2312" w:cstheme="minorBidi"/>
          <w:color w:val="auto"/>
          <w:kern w:val="0"/>
          <w:sz w:val="22"/>
          <w:szCs w:val="22"/>
          <w:lang w:val="en-US" w:eastAsia="zh-CN"/>
        </w:rPr>
        <w:t>单位：公顷</w:t>
      </w:r>
    </w:p>
    <w:tbl>
      <w:tblPr>
        <w:tblStyle w:val="6"/>
        <w:tblW w:w="13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1011"/>
        <w:gridCol w:w="1091"/>
        <w:gridCol w:w="594"/>
        <w:gridCol w:w="1235"/>
        <w:gridCol w:w="1320"/>
        <w:gridCol w:w="1267"/>
        <w:gridCol w:w="1125"/>
        <w:gridCol w:w="1086"/>
        <w:gridCol w:w="1085"/>
        <w:gridCol w:w="1332"/>
        <w:gridCol w:w="1135"/>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265" w:type="dxa"/>
            <w:gridSpan w:val="4"/>
            <w:noWrap w:val="0"/>
            <w:vAlign w:val="center"/>
          </w:tcPr>
          <w:p>
            <w:pPr>
              <w:jc w:val="center"/>
              <w:rPr>
                <w:rStyle w:val="8"/>
                <w:rFonts w:ascii="仿宋_GB2312" w:hAnsi="宋体" w:eastAsia="仿宋_GB2312"/>
                <w:color w:val="auto"/>
                <w:kern w:val="0"/>
                <w:sz w:val="22"/>
                <w:szCs w:val="22"/>
              </w:rPr>
            </w:pPr>
            <w:bookmarkStart w:id="0" w:name="OLE_LINK1"/>
            <w:r>
              <w:rPr>
                <w:rStyle w:val="8"/>
                <w:rFonts w:ascii="仿宋_GB2312" w:hAnsi="宋体" w:eastAsia="仿宋_GB2312"/>
                <w:color w:val="auto"/>
                <w:kern w:val="0"/>
                <w:sz w:val="22"/>
                <w:szCs w:val="22"/>
              </w:rPr>
              <w:t>被征地单位名称</w:t>
            </w:r>
          </w:p>
        </w:tc>
        <w:tc>
          <w:tcPr>
            <w:tcW w:w="1235" w:type="dxa"/>
            <w:vMerge w:val="restart"/>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总面积</w:t>
            </w:r>
          </w:p>
        </w:tc>
        <w:tc>
          <w:tcPr>
            <w:tcW w:w="7215" w:type="dxa"/>
            <w:gridSpan w:val="6"/>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农用地</w:t>
            </w:r>
          </w:p>
        </w:tc>
        <w:tc>
          <w:tcPr>
            <w:tcW w:w="1135" w:type="dxa"/>
            <w:vMerge w:val="restart"/>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建设用地</w:t>
            </w:r>
          </w:p>
        </w:tc>
        <w:tc>
          <w:tcPr>
            <w:tcW w:w="1072" w:type="dxa"/>
            <w:vMerge w:val="restart"/>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未利用地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69"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区</w:t>
            </w:r>
          </w:p>
        </w:tc>
        <w:tc>
          <w:tcPr>
            <w:tcW w:w="1011" w:type="dxa"/>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Microsoft YaHei UI" w:hAnsi="Microsoft YaHei UI" w:eastAsia="仿宋_GB2312"/>
                <w:color w:val="auto"/>
                <w:kern w:val="0"/>
                <w:sz w:val="22"/>
                <w:szCs w:val="22"/>
                <w:lang w:eastAsia="zh-CN"/>
              </w:rPr>
              <w:t>镇（街道）</w:t>
            </w:r>
          </w:p>
        </w:tc>
        <w:tc>
          <w:tcPr>
            <w:tcW w:w="1091" w:type="dxa"/>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村（</w:t>
            </w:r>
            <w:r>
              <w:rPr>
                <w:rStyle w:val="8"/>
                <w:rFonts w:ascii="仿宋_GB2312" w:hAnsi="宋体" w:eastAsia="仿宋_GB2312"/>
                <w:color w:val="auto"/>
                <w:kern w:val="0"/>
                <w:sz w:val="22"/>
                <w:szCs w:val="22"/>
              </w:rPr>
              <w:t>社区</w:t>
            </w:r>
            <w:r>
              <w:rPr>
                <w:rStyle w:val="8"/>
                <w:rFonts w:hint="eastAsia" w:ascii="仿宋_GB2312" w:hAnsi="宋体" w:eastAsia="仿宋_GB2312"/>
                <w:color w:val="auto"/>
                <w:kern w:val="0"/>
                <w:sz w:val="22"/>
                <w:szCs w:val="22"/>
                <w:lang w:eastAsia="zh-CN"/>
              </w:rPr>
              <w:t>）</w:t>
            </w:r>
          </w:p>
        </w:tc>
        <w:tc>
          <w:tcPr>
            <w:tcW w:w="594"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组</w:t>
            </w:r>
          </w:p>
        </w:tc>
        <w:tc>
          <w:tcPr>
            <w:tcW w:w="1235" w:type="dxa"/>
            <w:vMerge w:val="continue"/>
            <w:noWrap w:val="0"/>
            <w:vAlign w:val="center"/>
          </w:tcPr>
          <w:p>
            <w:pPr>
              <w:jc w:val="center"/>
              <w:rPr>
                <w:rStyle w:val="8"/>
                <w:rFonts w:ascii="仿宋_GB2312" w:hAnsi="宋体" w:eastAsia="仿宋_GB2312"/>
                <w:color w:val="auto"/>
                <w:kern w:val="0"/>
                <w:sz w:val="22"/>
                <w:szCs w:val="22"/>
              </w:rPr>
            </w:pPr>
          </w:p>
        </w:tc>
        <w:tc>
          <w:tcPr>
            <w:tcW w:w="1320"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小计</w:t>
            </w:r>
          </w:p>
        </w:tc>
        <w:tc>
          <w:tcPr>
            <w:tcW w:w="1267"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耕地</w:t>
            </w:r>
          </w:p>
        </w:tc>
        <w:tc>
          <w:tcPr>
            <w:tcW w:w="1125"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园地</w:t>
            </w:r>
          </w:p>
        </w:tc>
        <w:tc>
          <w:tcPr>
            <w:tcW w:w="1086"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林地</w:t>
            </w:r>
          </w:p>
        </w:tc>
        <w:tc>
          <w:tcPr>
            <w:tcW w:w="1085"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草地</w:t>
            </w:r>
          </w:p>
        </w:tc>
        <w:tc>
          <w:tcPr>
            <w:tcW w:w="1332"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其他农用地</w:t>
            </w:r>
          </w:p>
        </w:tc>
        <w:tc>
          <w:tcPr>
            <w:tcW w:w="1135" w:type="dxa"/>
            <w:vMerge w:val="continue"/>
            <w:noWrap w:val="0"/>
            <w:vAlign w:val="center"/>
          </w:tcPr>
          <w:p>
            <w:pPr>
              <w:jc w:val="center"/>
              <w:rPr>
                <w:rStyle w:val="8"/>
                <w:rFonts w:ascii="仿宋_GB2312" w:hAnsi="宋体" w:eastAsia="仿宋_GB2312"/>
                <w:color w:val="auto"/>
                <w:kern w:val="0"/>
                <w:sz w:val="22"/>
                <w:szCs w:val="22"/>
              </w:rPr>
            </w:pPr>
          </w:p>
        </w:tc>
        <w:tc>
          <w:tcPr>
            <w:tcW w:w="1072" w:type="dxa"/>
            <w:vMerge w:val="continue"/>
            <w:noWrap w:val="0"/>
            <w:vAlign w:val="center"/>
          </w:tcPr>
          <w:p>
            <w:pPr>
              <w:jc w:val="center"/>
              <w:rPr>
                <w:rStyle w:val="8"/>
                <w:rFonts w:ascii="仿宋_GB2312" w:hAnsi="宋体" w:eastAsia="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569"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船山</w:t>
            </w:r>
          </w:p>
        </w:tc>
        <w:tc>
          <w:tcPr>
            <w:tcW w:w="1011"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杨渡</w:t>
            </w:r>
          </w:p>
        </w:tc>
        <w:tc>
          <w:tcPr>
            <w:tcW w:w="1091" w:type="dxa"/>
            <w:vMerge w:val="restart"/>
            <w:noWrap w:val="0"/>
            <w:vAlign w:val="center"/>
          </w:tcPr>
          <w:p>
            <w:pPr>
              <w:jc w:val="center"/>
              <w:rPr>
                <w:rFonts w:hint="eastAsia" w:ascii="仿宋_GB2312" w:hAnsi="宋体" w:eastAsia="仿宋_GB2312" w:cs="Times New Roman"/>
                <w:color w:val="auto"/>
                <w:kern w:val="0"/>
                <w:sz w:val="22"/>
                <w:szCs w:val="22"/>
                <w:lang w:val="en-US" w:eastAsia="zh-CN" w:bidi="ar-SA"/>
              </w:rPr>
            </w:pPr>
            <w:r>
              <w:rPr>
                <w:rFonts w:hint="eastAsia" w:ascii="仿宋_GB2312" w:hAnsi="宋体" w:eastAsia="仿宋_GB2312" w:cs="Times New Roman"/>
                <w:color w:val="auto"/>
                <w:kern w:val="0"/>
                <w:sz w:val="22"/>
                <w:szCs w:val="22"/>
                <w:lang w:val="en-US" w:eastAsia="zh-CN" w:bidi="ar-SA"/>
              </w:rPr>
              <w:t>二教寺</w:t>
            </w:r>
          </w:p>
        </w:tc>
        <w:tc>
          <w:tcPr>
            <w:tcW w:w="594" w:type="dxa"/>
            <w:noWrap w:val="0"/>
            <w:vAlign w:val="center"/>
          </w:tcPr>
          <w:p>
            <w:pPr>
              <w:jc w:val="center"/>
              <w:rPr>
                <w:rStyle w:val="8"/>
                <w:rFonts w:hint="eastAsia"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3</w:t>
            </w:r>
          </w:p>
        </w:tc>
        <w:tc>
          <w:tcPr>
            <w:tcW w:w="1235"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0.0326</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0.0212</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p>
        </w:tc>
        <w:tc>
          <w:tcPr>
            <w:tcW w:w="1086" w:type="dxa"/>
            <w:noWrap w:val="0"/>
            <w:vAlign w:val="center"/>
          </w:tcPr>
          <w:p>
            <w:pPr>
              <w:widowControl/>
              <w:jc w:val="center"/>
              <w:textAlignment w:val="bottom"/>
              <w:rPr>
                <w:rStyle w:val="8"/>
                <w:rFonts w:hint="default" w:ascii="宋体" w:hAnsi="宋体" w:eastAsia="宋体" w:cs="宋体"/>
                <w:color w:val="auto"/>
                <w:kern w:val="0"/>
                <w:sz w:val="24"/>
                <w:szCs w:val="24"/>
                <w:lang w:val="en-US" w:bidi="ar"/>
              </w:rPr>
            </w:pP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0.0212</w:t>
            </w:r>
          </w:p>
        </w:tc>
        <w:tc>
          <w:tcPr>
            <w:tcW w:w="1135" w:type="dxa"/>
            <w:noWrap w:val="0"/>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0.0114</w:t>
            </w: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Fonts w:hint="eastAsia" w:ascii="仿宋_GB2312" w:hAnsi="宋体" w:eastAsia="仿宋_GB2312" w:cs="Times New Roman"/>
                <w:color w:val="auto"/>
                <w:kern w:val="0"/>
                <w:sz w:val="22"/>
                <w:szCs w:val="22"/>
                <w:lang w:val="en-US" w:eastAsia="zh-CN" w:bidi="ar-SA"/>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4</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0.4946</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0.3402</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0.2635</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0.0373</w:t>
            </w: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08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0.0394</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0.1544</w:t>
            </w: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5</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1.3299</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0.9108</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0.7810</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0.1298</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0.4191</w:t>
            </w: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6</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0.2138</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0.2138</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0.1967</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0.0171</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val="en-US" w:eastAsia="zh-CN"/>
              </w:rPr>
              <w:t>歇马庙</w:t>
            </w: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1</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1.4789</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0.6861</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0.6246</w:t>
            </w:r>
          </w:p>
        </w:tc>
        <w:tc>
          <w:tcPr>
            <w:tcW w:w="1125"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0.0615</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0.7928</w:t>
            </w: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2</w:t>
            </w:r>
          </w:p>
        </w:tc>
        <w:tc>
          <w:tcPr>
            <w:tcW w:w="1235"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0.0848</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0.0848</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0.0780</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0.0068</w:t>
            </w:r>
          </w:p>
        </w:tc>
        <w:tc>
          <w:tcPr>
            <w:tcW w:w="1135" w:type="dxa"/>
            <w:noWrap w:val="0"/>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3</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0.0295</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0.0295</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0.0271</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086" w:type="dxa"/>
            <w:noWrap w:val="0"/>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0.0024</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7</w:t>
            </w:r>
          </w:p>
        </w:tc>
        <w:tc>
          <w:tcPr>
            <w:tcW w:w="1235"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0.0848</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0.0848</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0.0780</w:t>
            </w:r>
          </w:p>
        </w:tc>
        <w:tc>
          <w:tcPr>
            <w:tcW w:w="1125" w:type="dxa"/>
            <w:noWrap/>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0.0068</w:t>
            </w:r>
          </w:p>
        </w:tc>
        <w:tc>
          <w:tcPr>
            <w:tcW w:w="1135" w:type="dxa"/>
            <w:noWrap w:val="0"/>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永兴</w:t>
            </w:r>
          </w:p>
        </w:tc>
        <w:tc>
          <w:tcPr>
            <w:tcW w:w="1091"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val="en-US" w:eastAsia="zh-CN"/>
              </w:rPr>
              <w:t>灵通</w:t>
            </w:r>
          </w:p>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5</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0.1045</w:t>
            </w:r>
          </w:p>
        </w:tc>
        <w:tc>
          <w:tcPr>
            <w:tcW w:w="1320"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0.1045</w:t>
            </w:r>
          </w:p>
        </w:tc>
        <w:tc>
          <w:tcPr>
            <w:tcW w:w="1267"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0.0703</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0.0281</w:t>
            </w: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0.0061</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6</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0.1774</w:t>
            </w:r>
          </w:p>
        </w:tc>
        <w:tc>
          <w:tcPr>
            <w:tcW w:w="1320"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0.1698</w:t>
            </w:r>
          </w:p>
        </w:tc>
        <w:tc>
          <w:tcPr>
            <w:tcW w:w="1267"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0.1380</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0.0198</w:t>
            </w: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0.0120</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0.0076</w:t>
            </w: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7</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0.0673</w:t>
            </w:r>
          </w:p>
        </w:tc>
        <w:tc>
          <w:tcPr>
            <w:tcW w:w="1320"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0.0673</w:t>
            </w:r>
          </w:p>
        </w:tc>
        <w:tc>
          <w:tcPr>
            <w:tcW w:w="1267"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0.0619</w:t>
            </w:r>
          </w:p>
        </w:tc>
        <w:tc>
          <w:tcPr>
            <w:tcW w:w="1125" w:type="dxa"/>
            <w:noWrap/>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0.0054</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8</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1.8159</w:t>
            </w:r>
          </w:p>
        </w:tc>
        <w:tc>
          <w:tcPr>
            <w:tcW w:w="1320"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0.9333</w:t>
            </w:r>
          </w:p>
        </w:tc>
        <w:tc>
          <w:tcPr>
            <w:tcW w:w="1267"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0.3981</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0.4890</w:t>
            </w: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0.0115</w:t>
            </w:r>
          </w:p>
        </w:tc>
        <w:tc>
          <w:tcPr>
            <w:tcW w:w="1332" w:type="dxa"/>
            <w:noWrap/>
            <w:vAlign w:val="center"/>
          </w:tcPr>
          <w:p>
            <w:pPr>
              <w:widowControl/>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0.0347</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0.8826</w:t>
            </w: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10</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0.5967</w:t>
            </w:r>
          </w:p>
        </w:tc>
        <w:tc>
          <w:tcPr>
            <w:tcW w:w="1320"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0.5504</w:t>
            </w:r>
          </w:p>
        </w:tc>
        <w:tc>
          <w:tcPr>
            <w:tcW w:w="1267"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0.0062</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0.5054</w:t>
            </w: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0.0388</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0.0463</w:t>
            </w: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11</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0.3541</w:t>
            </w:r>
          </w:p>
        </w:tc>
        <w:tc>
          <w:tcPr>
            <w:tcW w:w="1320"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0.2872</w:t>
            </w:r>
          </w:p>
        </w:tc>
        <w:tc>
          <w:tcPr>
            <w:tcW w:w="1267"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0.0609</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0.1878</w:t>
            </w:r>
          </w:p>
        </w:tc>
        <w:tc>
          <w:tcPr>
            <w:tcW w:w="1086"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0.0385</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0.0669</w:t>
            </w: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val="en-US" w:eastAsia="zh-CN"/>
              </w:rPr>
              <w:t>清源</w:t>
            </w: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9</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0.4682</w:t>
            </w:r>
          </w:p>
        </w:tc>
        <w:tc>
          <w:tcPr>
            <w:tcW w:w="1320"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0.4682</w:t>
            </w:r>
          </w:p>
        </w:tc>
        <w:tc>
          <w:tcPr>
            <w:tcW w:w="1267"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0.0248</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0.2165</w:t>
            </w:r>
          </w:p>
        </w:tc>
        <w:tc>
          <w:tcPr>
            <w:tcW w:w="1086" w:type="dxa"/>
            <w:noWrap w:val="0"/>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0.2248</w:t>
            </w: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0.0021</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val="en-US" w:eastAsia="zh-CN"/>
              </w:rPr>
              <w:t>旗山</w:t>
            </w: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1</w:t>
            </w:r>
          </w:p>
        </w:tc>
        <w:tc>
          <w:tcPr>
            <w:tcW w:w="1235"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1.5237</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1.5237</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0.6322</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0.5694</w:t>
            </w:r>
          </w:p>
        </w:tc>
        <w:tc>
          <w:tcPr>
            <w:tcW w:w="1086" w:type="dxa"/>
            <w:noWrap w:val="0"/>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0.0957</w:t>
            </w: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0.2264</w:t>
            </w:r>
          </w:p>
        </w:tc>
        <w:tc>
          <w:tcPr>
            <w:tcW w:w="1135" w:type="dxa"/>
            <w:noWrap w:val="0"/>
            <w:vAlign w:val="center"/>
          </w:tcPr>
          <w:p>
            <w:pPr>
              <w:keepNext w:val="0"/>
              <w:keepLines w:val="0"/>
              <w:widowControl/>
              <w:suppressLineNumbers w:val="0"/>
              <w:jc w:val="center"/>
              <w:textAlignment w:val="bottom"/>
              <w:rPr>
                <w:rStyle w:val="8"/>
                <w:rFonts w:hint="eastAsia" w:ascii="宋体" w:hAnsi="宋体" w:eastAsia="宋体" w:cs="宋体"/>
                <w:color w:val="auto"/>
                <w:kern w:val="0"/>
                <w:sz w:val="24"/>
                <w:szCs w:val="24"/>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11"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1091" w:type="dxa"/>
            <w:vMerge w:val="continue"/>
            <w:noWrap w:val="0"/>
            <w:vAlign w:val="center"/>
          </w:tcPr>
          <w:p>
            <w:pPr>
              <w:jc w:val="center"/>
              <w:rPr>
                <w:rStyle w:val="8"/>
                <w:rFonts w:hint="eastAsia" w:ascii="仿宋_GB2312" w:hAnsi="宋体" w:eastAsia="仿宋_GB2312"/>
                <w:color w:val="auto"/>
                <w:kern w:val="0"/>
                <w:sz w:val="22"/>
                <w:szCs w:val="22"/>
                <w:lang w:val="en-US" w:eastAsia="zh-CN"/>
              </w:rPr>
            </w:pPr>
          </w:p>
        </w:tc>
        <w:tc>
          <w:tcPr>
            <w:tcW w:w="594"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12</w:t>
            </w:r>
          </w:p>
        </w:tc>
        <w:tc>
          <w:tcPr>
            <w:tcW w:w="1235" w:type="dxa"/>
            <w:noWrap/>
            <w:vAlign w:val="center"/>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0.3607</w:t>
            </w:r>
          </w:p>
        </w:tc>
        <w:tc>
          <w:tcPr>
            <w:tcW w:w="1320" w:type="dxa"/>
            <w:noWrap/>
            <w:vAlign w:val="center"/>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0.3607</w:t>
            </w:r>
          </w:p>
        </w:tc>
        <w:tc>
          <w:tcPr>
            <w:tcW w:w="1267" w:type="dxa"/>
            <w:noWrap/>
            <w:vAlign w:val="center"/>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0.0322</w:t>
            </w:r>
          </w:p>
        </w:tc>
        <w:tc>
          <w:tcPr>
            <w:tcW w:w="1125"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0.3153</w:t>
            </w:r>
          </w:p>
        </w:tc>
        <w:tc>
          <w:tcPr>
            <w:tcW w:w="1086" w:type="dxa"/>
            <w:noWrap w:val="0"/>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085" w:type="dxa"/>
            <w:noWrap/>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0.0132</w:t>
            </w:r>
          </w:p>
        </w:tc>
        <w:tc>
          <w:tcPr>
            <w:tcW w:w="1135" w:type="dxa"/>
            <w:noWrap w:val="0"/>
            <w:vAlign w:val="center"/>
          </w:tcPr>
          <w:p>
            <w:pPr>
              <w:keepNext w:val="0"/>
              <w:keepLines w:val="0"/>
              <w:widowControl/>
              <w:suppressLineNumbers w:val="0"/>
              <w:jc w:val="center"/>
              <w:textAlignment w:val="bottom"/>
              <w:rPr>
                <w:rStyle w:val="8"/>
                <w:rFonts w:hint="eastAsia" w:ascii="宋体" w:hAnsi="宋体" w:eastAsia="宋体" w:cs="宋体"/>
                <w:color w:val="auto"/>
                <w:kern w:val="0"/>
                <w:sz w:val="24"/>
                <w:szCs w:val="24"/>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3265" w:type="dxa"/>
            <w:gridSpan w:val="4"/>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集体土地小计</w:t>
            </w:r>
          </w:p>
        </w:tc>
        <w:tc>
          <w:tcPr>
            <w:tcW w:w="1235"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9.2174</w:t>
            </w:r>
          </w:p>
        </w:tc>
        <w:tc>
          <w:tcPr>
            <w:tcW w:w="1320"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6.8363</w:t>
            </w:r>
          </w:p>
        </w:tc>
        <w:tc>
          <w:tcPr>
            <w:tcW w:w="1267"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3.4735</w:t>
            </w:r>
          </w:p>
        </w:tc>
        <w:tc>
          <w:tcPr>
            <w:tcW w:w="1125"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2.3686</w:t>
            </w:r>
          </w:p>
        </w:tc>
        <w:tc>
          <w:tcPr>
            <w:tcW w:w="1086"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0.2248</w:t>
            </w:r>
          </w:p>
        </w:tc>
        <w:tc>
          <w:tcPr>
            <w:tcW w:w="1085" w:type="dxa"/>
            <w:noWrap w:val="0"/>
            <w:vAlign w:val="bottom"/>
          </w:tcPr>
          <w:p>
            <w:pPr>
              <w:keepNext w:val="0"/>
              <w:keepLines w:val="0"/>
              <w:widowControl/>
              <w:suppressLineNumbers w:val="0"/>
              <w:jc w:val="center"/>
              <w:textAlignment w:val="bottom"/>
              <w:rPr>
                <w:rStyle w:val="8"/>
                <w:rFonts w:hint="default" w:ascii="宋体" w:hAnsi="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0.1072</w:t>
            </w:r>
          </w:p>
        </w:tc>
        <w:tc>
          <w:tcPr>
            <w:tcW w:w="1332"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0.6622</w:t>
            </w:r>
          </w:p>
        </w:tc>
        <w:tc>
          <w:tcPr>
            <w:tcW w:w="1135"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2.3811</w:t>
            </w:r>
          </w:p>
        </w:tc>
        <w:tc>
          <w:tcPr>
            <w:tcW w:w="1072" w:type="dxa"/>
            <w:noWrap w:val="0"/>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3265" w:type="dxa"/>
            <w:gridSpan w:val="4"/>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国有土地小计</w:t>
            </w:r>
          </w:p>
        </w:tc>
        <w:tc>
          <w:tcPr>
            <w:tcW w:w="1235"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0.2073</w:t>
            </w:r>
          </w:p>
        </w:tc>
        <w:tc>
          <w:tcPr>
            <w:tcW w:w="1320"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p>
        </w:tc>
        <w:tc>
          <w:tcPr>
            <w:tcW w:w="1267"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p>
        </w:tc>
        <w:tc>
          <w:tcPr>
            <w:tcW w:w="1125"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p>
        </w:tc>
        <w:tc>
          <w:tcPr>
            <w:tcW w:w="1086" w:type="dxa"/>
            <w:noWrap w:val="0"/>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c>
          <w:tcPr>
            <w:tcW w:w="1085" w:type="dxa"/>
            <w:noWrap w:val="0"/>
            <w:vAlign w:val="bottom"/>
          </w:tcPr>
          <w:p>
            <w:pPr>
              <w:keepNext w:val="0"/>
              <w:keepLines w:val="0"/>
              <w:widowControl/>
              <w:suppressLineNumbers w:val="0"/>
              <w:jc w:val="center"/>
              <w:textAlignment w:val="bottom"/>
              <w:rPr>
                <w:rStyle w:val="8"/>
                <w:rFonts w:hint="eastAsia" w:ascii="宋体" w:hAnsi="宋体" w:cs="宋体"/>
                <w:color w:val="auto"/>
                <w:kern w:val="0"/>
                <w:sz w:val="24"/>
                <w:szCs w:val="24"/>
                <w:lang w:val="en-US" w:eastAsia="zh-CN" w:bidi="ar"/>
              </w:rPr>
            </w:pPr>
          </w:p>
        </w:tc>
        <w:tc>
          <w:tcPr>
            <w:tcW w:w="1332" w:type="dxa"/>
            <w:noWrap w:val="0"/>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c>
          <w:tcPr>
            <w:tcW w:w="1135"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p>
        </w:tc>
        <w:tc>
          <w:tcPr>
            <w:tcW w:w="1072"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0.2073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3265" w:type="dxa"/>
            <w:gridSpan w:val="4"/>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合计</w:t>
            </w:r>
          </w:p>
        </w:tc>
        <w:tc>
          <w:tcPr>
            <w:tcW w:w="1235"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9.4247</w:t>
            </w:r>
          </w:p>
        </w:tc>
        <w:tc>
          <w:tcPr>
            <w:tcW w:w="1320"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6.8363</w:t>
            </w:r>
          </w:p>
        </w:tc>
        <w:tc>
          <w:tcPr>
            <w:tcW w:w="1267"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3.4735</w:t>
            </w:r>
          </w:p>
        </w:tc>
        <w:tc>
          <w:tcPr>
            <w:tcW w:w="1125"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2.3686</w:t>
            </w:r>
          </w:p>
        </w:tc>
        <w:tc>
          <w:tcPr>
            <w:tcW w:w="1086"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0.2248</w:t>
            </w:r>
          </w:p>
        </w:tc>
        <w:tc>
          <w:tcPr>
            <w:tcW w:w="1085"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0.1072</w:t>
            </w:r>
          </w:p>
        </w:tc>
        <w:tc>
          <w:tcPr>
            <w:tcW w:w="1332"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0.6622</w:t>
            </w:r>
          </w:p>
        </w:tc>
        <w:tc>
          <w:tcPr>
            <w:tcW w:w="1135"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2.3811</w:t>
            </w:r>
          </w:p>
        </w:tc>
        <w:tc>
          <w:tcPr>
            <w:tcW w:w="1072"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0.2073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13922" w:type="dxa"/>
            <w:gridSpan w:val="13"/>
            <w:noWrap w:val="0"/>
            <w:vAlign w:val="center"/>
          </w:tcPr>
          <w:p>
            <w:pPr>
              <w:keepNext w:val="0"/>
              <w:keepLines w:val="0"/>
              <w:widowControl/>
              <w:suppressLineNumbers w:val="0"/>
              <w:ind w:firstLine="200" w:firstLineChars="100"/>
              <w:jc w:val="both"/>
              <w:textAlignment w:val="bottom"/>
              <w:rPr>
                <w:rFonts w:hint="eastAsia" w:ascii="宋体" w:hAnsi="宋体" w:eastAsia="宋体" w:cs="宋体"/>
                <w:i w:val="0"/>
                <w:iCs w:val="0"/>
                <w:color w:val="auto"/>
                <w:kern w:val="0"/>
                <w:sz w:val="24"/>
                <w:szCs w:val="24"/>
                <w:u w:val="none"/>
                <w:lang w:val="en-US" w:eastAsia="zh-CN" w:bidi="ar"/>
              </w:rPr>
            </w:pPr>
            <w:r>
              <w:rPr>
                <w:rFonts w:hint="default" w:ascii="仿宋_GB2312" w:hAnsi="宋体" w:eastAsia="仿宋_GB2312" w:cs="仿宋_GB2312"/>
                <w:i w:val="0"/>
                <w:iCs w:val="0"/>
                <w:color w:val="000000"/>
                <w:sz w:val="20"/>
                <w:szCs w:val="20"/>
                <w:u w:val="none"/>
              </w:rPr>
              <w:t>备注：“农用地”一栏中的“其他”是指按国标三大类中的一级类中除耕地、园地、林地、草地外的其他农用地</w:t>
            </w:r>
          </w:p>
        </w:tc>
      </w:tr>
      <w:bookmarkEnd w:id="0"/>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黑体"/>
          <w:sz w:val="32"/>
          <w:szCs w:val="32"/>
        </w:rPr>
      </w:pPr>
      <w:r>
        <w:rPr>
          <w:rFonts w:eastAsia="黑体"/>
          <w:sz w:val="32"/>
          <w:szCs w:val="32"/>
        </w:rPr>
        <w:t>三、征收土地补偿标准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仿宋_GB2312"/>
          <w:sz w:val="32"/>
          <w:szCs w:val="32"/>
        </w:rPr>
      </w:pPr>
      <w:r>
        <w:rPr>
          <w:rFonts w:hint="eastAsia" w:eastAsia="仿宋_GB2312" w:cs="仿宋_GB2312"/>
          <w:sz w:val="32"/>
          <w:szCs w:val="32"/>
          <w:lang w:eastAsia="zh-CN"/>
        </w:rPr>
        <w:t>土地补偿费、安置补助费标准</w:t>
      </w:r>
      <w:r>
        <w:rPr>
          <w:rFonts w:hint="eastAsia" w:ascii="Times New Roman" w:hAnsi="Times New Roman" w:eastAsia="仿宋_GB2312" w:cs="仿宋_GB2312"/>
          <w:sz w:val="32"/>
          <w:szCs w:val="32"/>
        </w:rPr>
        <w:t>按照</w:t>
      </w:r>
      <w:r>
        <w:rPr>
          <w:rFonts w:hint="eastAsia" w:eastAsia="仿宋_GB2312" w:cs="仿宋_GB2312"/>
          <w:sz w:val="32"/>
          <w:szCs w:val="32"/>
        </w:rPr>
        <w:t>《四川省人民政府关于同意各市</w:t>
      </w:r>
      <w:r>
        <w:rPr>
          <w:rFonts w:hint="eastAsia" w:eastAsia="仿宋_GB2312" w:cs="仿宋_GB2312"/>
          <w:sz w:val="32"/>
          <w:szCs w:val="32"/>
          <w:lang w:eastAsia="zh-CN"/>
        </w:rPr>
        <w:t>（</w:t>
      </w:r>
      <w:r>
        <w:rPr>
          <w:rFonts w:hint="eastAsia" w:eastAsia="仿宋_GB2312" w:cs="仿宋_GB2312"/>
          <w:sz w:val="32"/>
          <w:szCs w:val="32"/>
        </w:rPr>
        <w:t>州</w:t>
      </w:r>
      <w:r>
        <w:rPr>
          <w:rFonts w:hint="eastAsia" w:eastAsia="仿宋_GB2312" w:cs="仿宋_GB2312"/>
          <w:sz w:val="32"/>
          <w:szCs w:val="32"/>
          <w:lang w:eastAsia="zh-CN"/>
        </w:rPr>
        <w:t>）</w:t>
      </w:r>
      <w:r>
        <w:rPr>
          <w:rFonts w:hint="eastAsia" w:eastAsia="仿宋_GB2312" w:cs="仿宋_GB2312"/>
          <w:sz w:val="32"/>
          <w:szCs w:val="32"/>
        </w:rPr>
        <w:t>征收农用地区片综合地价标准的批复》（</w:t>
      </w:r>
      <w:r>
        <w:rPr>
          <w:rFonts w:hint="eastAsia" w:eastAsia="仿宋_GB2312" w:cs="仿宋_GB2312"/>
          <w:sz w:val="32"/>
          <w:szCs w:val="32"/>
          <w:lang w:eastAsia="zh-CN"/>
        </w:rPr>
        <w:t>川府函</w:t>
      </w:r>
      <w:r>
        <w:rPr>
          <w:rFonts w:hint="eastAsia" w:eastAsia="仿宋_GB2312" w:cs="仿宋_GB2312"/>
          <w:sz w:val="32"/>
          <w:szCs w:val="32"/>
        </w:rPr>
        <w:t>〔</w:t>
      </w:r>
      <w:r>
        <w:rPr>
          <w:rFonts w:eastAsia="仿宋_GB2312"/>
          <w:sz w:val="32"/>
          <w:szCs w:val="32"/>
        </w:rPr>
        <w:t>20</w:t>
      </w:r>
      <w:r>
        <w:rPr>
          <w:rFonts w:hint="eastAsia" w:eastAsia="仿宋_GB2312"/>
          <w:sz w:val="32"/>
          <w:szCs w:val="32"/>
          <w:lang w:val="en-US" w:eastAsia="zh-CN"/>
        </w:rPr>
        <w:t>20</w:t>
      </w:r>
      <w:r>
        <w:rPr>
          <w:rFonts w:hint="eastAsia" w:eastAsia="仿宋_GB2312" w:cs="仿宋_GB2312"/>
          <w:sz w:val="32"/>
          <w:szCs w:val="32"/>
        </w:rPr>
        <w:t>〕</w:t>
      </w:r>
      <w:r>
        <w:rPr>
          <w:rFonts w:hint="eastAsia" w:eastAsia="仿宋_GB2312"/>
          <w:sz w:val="32"/>
          <w:szCs w:val="32"/>
          <w:lang w:val="en-US" w:eastAsia="zh-CN"/>
        </w:rPr>
        <w:t>185</w:t>
      </w:r>
      <w:r>
        <w:rPr>
          <w:rFonts w:hint="eastAsia" w:eastAsia="仿宋_GB2312" w:cs="仿宋_GB2312"/>
          <w:sz w:val="32"/>
          <w:szCs w:val="32"/>
        </w:rPr>
        <w:t>号）</w:t>
      </w:r>
      <w:r>
        <w:rPr>
          <w:rFonts w:hint="eastAsia" w:eastAsia="仿宋_GB2312" w:cs="仿宋_GB2312"/>
          <w:sz w:val="32"/>
          <w:szCs w:val="32"/>
          <w:lang w:eastAsia="zh-CN"/>
        </w:rPr>
        <w:t>、《遂宁市船山区人民政府关于遂宁市船山区征收农用地区片综合地价的公告》</w:t>
      </w:r>
      <w:r>
        <w:rPr>
          <w:rFonts w:hint="eastAsia" w:eastAsia="仿宋_GB2312" w:cs="仿宋_GB2312"/>
          <w:sz w:val="32"/>
          <w:szCs w:val="32"/>
        </w:rPr>
        <w:t>（</w:t>
      </w:r>
      <w:r>
        <w:rPr>
          <w:rFonts w:hint="eastAsia" w:eastAsia="仿宋_GB2312" w:cs="仿宋_GB2312"/>
          <w:sz w:val="32"/>
          <w:szCs w:val="32"/>
          <w:lang w:eastAsia="zh-CN"/>
        </w:rPr>
        <w:t>遂船府公</w:t>
      </w:r>
      <w:r>
        <w:rPr>
          <w:rFonts w:hint="eastAsia" w:eastAsia="仿宋_GB2312" w:cs="仿宋_GB2312"/>
          <w:sz w:val="32"/>
          <w:szCs w:val="32"/>
        </w:rPr>
        <w:t>〔</w:t>
      </w:r>
      <w:r>
        <w:rPr>
          <w:rFonts w:eastAsia="仿宋_GB2312"/>
          <w:sz w:val="32"/>
          <w:szCs w:val="32"/>
        </w:rPr>
        <w:t>20</w:t>
      </w:r>
      <w:r>
        <w:rPr>
          <w:rFonts w:hint="eastAsia" w:eastAsia="仿宋_GB2312"/>
          <w:sz w:val="32"/>
          <w:szCs w:val="32"/>
          <w:lang w:val="en-US" w:eastAsia="zh-CN"/>
        </w:rPr>
        <w:t>20</w:t>
      </w:r>
      <w:r>
        <w:rPr>
          <w:rFonts w:hint="eastAsia" w:eastAsia="仿宋_GB2312" w:cs="仿宋_GB2312"/>
          <w:sz w:val="32"/>
          <w:szCs w:val="32"/>
        </w:rPr>
        <w:t>〕</w:t>
      </w:r>
      <w:r>
        <w:rPr>
          <w:rFonts w:hint="eastAsia" w:eastAsia="仿宋_GB2312"/>
          <w:sz w:val="32"/>
          <w:szCs w:val="32"/>
          <w:lang w:val="en-US" w:eastAsia="zh-CN"/>
        </w:rPr>
        <w:t>第46</w:t>
      </w:r>
      <w:r>
        <w:rPr>
          <w:rFonts w:hint="eastAsia" w:eastAsia="仿宋_GB2312" w:cs="仿宋_GB2312"/>
          <w:sz w:val="32"/>
          <w:szCs w:val="32"/>
        </w:rPr>
        <w:t>号）</w:t>
      </w:r>
      <w:r>
        <w:rPr>
          <w:rFonts w:eastAsia="仿宋_GB2312"/>
          <w:sz w:val="32"/>
          <w:szCs w:val="32"/>
        </w:rPr>
        <w:t>文件标准执行</w:t>
      </w:r>
      <w:r>
        <w:rPr>
          <w:rFonts w:hint="eastAsia" w:eastAsia="仿宋_GB2312" w:cs="仿宋_GB2312"/>
          <w:sz w:val="32"/>
          <w:szCs w:val="32"/>
          <w:lang w:eastAsia="zh-CN"/>
        </w:rPr>
        <w:t>。</w:t>
      </w:r>
      <w:r>
        <w:rPr>
          <w:rFonts w:eastAsia="仿宋_GB2312"/>
          <w:sz w:val="32"/>
          <w:szCs w:val="32"/>
        </w:rPr>
        <w:t>青苗和其他地上附着物补偿费标准</w:t>
      </w:r>
      <w:r>
        <w:rPr>
          <w:rFonts w:hint="eastAsia" w:ascii="Times New Roman" w:hAnsi="Times New Roman" w:eastAsia="仿宋_GB2312" w:cs="仿宋_GB2312"/>
          <w:sz w:val="32"/>
          <w:szCs w:val="32"/>
        </w:rPr>
        <w:t>按照</w:t>
      </w:r>
      <w:r>
        <w:rPr>
          <w:rFonts w:eastAsia="仿宋_GB2312"/>
          <w:sz w:val="32"/>
          <w:szCs w:val="32"/>
        </w:rPr>
        <w:t>《四川省人民政府关于同意</w:t>
      </w:r>
      <w:r>
        <w:rPr>
          <w:rFonts w:hint="eastAsia" w:eastAsia="仿宋_GB2312"/>
          <w:sz w:val="32"/>
          <w:szCs w:val="32"/>
          <w:lang w:eastAsia="zh-CN"/>
        </w:rPr>
        <w:t>各市</w:t>
      </w:r>
      <w:r>
        <w:rPr>
          <w:rFonts w:hint="eastAsia" w:eastAsia="仿宋_GB2312" w:cs="仿宋_GB2312"/>
          <w:sz w:val="32"/>
          <w:szCs w:val="32"/>
          <w:lang w:eastAsia="zh-CN"/>
        </w:rPr>
        <w:t>（</w:t>
      </w:r>
      <w:r>
        <w:rPr>
          <w:rFonts w:hint="eastAsia" w:eastAsia="仿宋_GB2312" w:cs="仿宋_GB2312"/>
          <w:sz w:val="32"/>
          <w:szCs w:val="32"/>
        </w:rPr>
        <w:t>州</w:t>
      </w:r>
      <w:r>
        <w:rPr>
          <w:rFonts w:hint="eastAsia" w:eastAsia="仿宋_GB2312" w:cs="仿宋_GB2312"/>
          <w:sz w:val="32"/>
          <w:szCs w:val="32"/>
          <w:lang w:eastAsia="zh-CN"/>
        </w:rPr>
        <w:t>）征地青苗和地上附着物补偿标准的批复</w:t>
      </w:r>
      <w:r>
        <w:rPr>
          <w:rFonts w:eastAsia="仿宋_GB2312"/>
          <w:sz w:val="32"/>
          <w:szCs w:val="32"/>
        </w:rPr>
        <w:t>》（川府函〔20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217</w:t>
      </w:r>
      <w:r>
        <w:rPr>
          <w:rFonts w:eastAsia="仿宋_GB2312"/>
          <w:sz w:val="32"/>
          <w:szCs w:val="32"/>
        </w:rPr>
        <w:t>号）文件标准执行</w:t>
      </w:r>
      <w:r>
        <w:rPr>
          <w:rFonts w:hint="eastAsia"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黑体"/>
          <w:sz w:val="32"/>
          <w:szCs w:val="32"/>
        </w:rPr>
      </w:pPr>
      <w:r>
        <w:rPr>
          <w:rFonts w:eastAsia="黑体"/>
          <w:sz w:val="32"/>
          <w:szCs w:val="32"/>
        </w:rPr>
        <w:t>四、农业人员安置途径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按照《四川省人民政府办公厅关于加强企业职工养老保险基金收支管理有关问题的通知》（川办发〔</w:t>
      </w:r>
      <w:r>
        <w:rPr>
          <w:rFonts w:ascii="Times New Roman" w:hAnsi="Times New Roman" w:eastAsia="仿宋_GB2312" w:cs="Times New Roman"/>
          <w:sz w:val="32"/>
          <w:szCs w:val="32"/>
        </w:rPr>
        <w:t>2018</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59</w:t>
      </w:r>
      <w:r>
        <w:rPr>
          <w:rFonts w:hint="eastAsia" w:ascii="Times New Roman" w:hAnsi="Times New Roman" w:eastAsia="仿宋_GB2312" w:cs="仿宋_GB2312"/>
          <w:sz w:val="32"/>
          <w:szCs w:val="32"/>
        </w:rPr>
        <w:t>号）、《四川省人力资源和社会保障厅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四川省财政厅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四川省自然资源厅关于印发</w:t>
      </w:r>
      <w:r>
        <w:rPr>
          <w:rFonts w:hint="eastAsia" w:ascii="仿宋_GB2312" w:hAnsi="仿宋_GB2312" w:eastAsia="仿宋_GB2312" w:cs="仿宋_GB2312"/>
          <w:sz w:val="32"/>
          <w:szCs w:val="32"/>
          <w:lang w:val="en-US" w:eastAsia="zh-CN"/>
        </w:rPr>
        <w:t>&lt;</w:t>
      </w:r>
      <w:r>
        <w:rPr>
          <w:rFonts w:hint="default" w:ascii="Times New Roman" w:hAnsi="Times New Roman" w:eastAsia="仿宋_GB2312" w:cs="Times New Roman"/>
          <w:sz w:val="32"/>
          <w:szCs w:val="32"/>
        </w:rPr>
        <w:t>四川省被征地农民养老保障实施办法</w:t>
      </w:r>
      <w:r>
        <w:rPr>
          <w:rFonts w:hint="eastAsia" w:ascii="仿宋_GB2312" w:hAnsi="仿宋_GB2312" w:eastAsia="仿宋_GB2312" w:cs="仿宋_GB2312"/>
          <w:sz w:val="32"/>
          <w:szCs w:val="32"/>
          <w:lang w:val="en-US" w:eastAsia="zh-CN"/>
        </w:rPr>
        <w:t>&gt;</w:t>
      </w:r>
      <w:r>
        <w:rPr>
          <w:rFonts w:hint="eastAsia" w:ascii="Times New Roman" w:hAnsi="Times New Roman" w:eastAsia="仿宋_GB2312" w:cs="仿宋_GB2312"/>
          <w:sz w:val="32"/>
          <w:szCs w:val="32"/>
        </w:rPr>
        <w:t>的通知》（川人社发〔</w:t>
      </w:r>
      <w:r>
        <w:rPr>
          <w:rFonts w:ascii="Times New Roman" w:hAnsi="Times New Roman" w:eastAsia="仿宋_GB2312" w:cs="Times New Roman"/>
          <w:sz w:val="32"/>
          <w:szCs w:val="32"/>
        </w:rPr>
        <w:t>2018</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46</w:t>
      </w:r>
      <w:r>
        <w:rPr>
          <w:rFonts w:hint="eastAsia" w:ascii="Times New Roman" w:hAnsi="Times New Roman" w:eastAsia="仿宋_GB2312" w:cs="仿宋_GB2312"/>
          <w:sz w:val="32"/>
          <w:szCs w:val="32"/>
        </w:rPr>
        <w:t>号）的有关规定执行。</w:t>
      </w:r>
    </w:p>
    <w:p>
      <w:pPr>
        <w:spacing w:line="600" w:lineRule="exact"/>
        <w:ind w:firstLine="640" w:firstLineChars="200"/>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其他事宜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本公告在征收土地涉及的</w:t>
      </w:r>
      <w:r>
        <w:rPr>
          <w:rFonts w:hint="eastAsia" w:eastAsia="仿宋_GB2312" w:cs="仿宋_GB2312"/>
          <w:kern w:val="2"/>
          <w:sz w:val="32"/>
          <w:szCs w:val="32"/>
          <w:lang w:val="en-US" w:eastAsia="zh-CN" w:bidi="ar-SA"/>
        </w:rPr>
        <w:t>镇（街道）</w:t>
      </w:r>
      <w:r>
        <w:rPr>
          <w:rFonts w:hint="eastAsia" w:ascii="Times New Roman" w:hAnsi="Times New Roman" w:eastAsia="仿宋_GB2312" w:cs="仿宋_GB2312"/>
          <w:kern w:val="2"/>
          <w:sz w:val="32"/>
          <w:szCs w:val="32"/>
          <w:lang w:val="en-US" w:eastAsia="zh-CN" w:bidi="ar-SA"/>
        </w:rPr>
        <w:t>和</w:t>
      </w:r>
      <w:r>
        <w:rPr>
          <w:rFonts w:hint="eastAsia" w:eastAsia="仿宋_GB2312" w:cs="仿宋_GB2312"/>
          <w:kern w:val="2"/>
          <w:sz w:val="32"/>
          <w:szCs w:val="32"/>
          <w:lang w:val="en-US" w:eastAsia="zh-CN" w:bidi="ar-SA"/>
        </w:rPr>
        <w:t>村（</w:t>
      </w:r>
      <w:r>
        <w:rPr>
          <w:rFonts w:hint="eastAsia" w:ascii="Times New Roman" w:hAnsi="Times New Roman" w:eastAsia="仿宋_GB2312" w:cs="仿宋_GB2312"/>
          <w:kern w:val="2"/>
          <w:sz w:val="32"/>
          <w:szCs w:val="32"/>
          <w:lang w:val="en-US" w:eastAsia="zh-CN" w:bidi="ar-SA"/>
        </w:rPr>
        <w:t>社区</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、组所在地予以张贴，公示期为30日。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公民、法人或者其他组织认为本行政行为侵犯其合法权益的，可自本公告发布之日起60日内，向遂宁市人民政府申请行政复议。</w:t>
      </w:r>
    </w:p>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遂宁市船山区人民政府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bookmarkStart w:id="1" w:name="OLE_LINK2"/>
      <w:r>
        <w:rPr>
          <w:rFonts w:hint="eastAsia" w:eastAsia="仿宋_GB2312"/>
          <w:sz w:val="32"/>
          <w:szCs w:val="32"/>
          <w:lang w:val="en-US" w:eastAsia="zh-CN"/>
        </w:rPr>
        <w:t xml:space="preserve">                                                               </w:t>
      </w:r>
      <w:r>
        <w:rPr>
          <w:rFonts w:hint="eastAsia" w:eastAsia="仿宋_GB2312"/>
          <w:sz w:val="32"/>
          <w:szCs w:val="32"/>
        </w:rPr>
        <w:t>20</w:t>
      </w:r>
      <w:r>
        <w:rPr>
          <w:rFonts w:hint="eastAsia" w:eastAsia="仿宋_GB2312"/>
          <w:sz w:val="32"/>
          <w:szCs w:val="32"/>
          <w:lang w:val="en-US" w:eastAsia="zh-CN"/>
        </w:rPr>
        <w:t>23</w:t>
      </w:r>
      <w:r>
        <w:rPr>
          <w:rFonts w:eastAsia="仿宋_GB2312"/>
          <w:sz w:val="32"/>
          <w:szCs w:val="32"/>
        </w:rPr>
        <w:t>年</w:t>
      </w:r>
      <w:bookmarkEnd w:id="1"/>
      <w:r>
        <w:rPr>
          <w:rFonts w:hint="eastAsia" w:eastAsia="仿宋_GB2312"/>
          <w:sz w:val="32"/>
          <w:szCs w:val="32"/>
          <w:lang w:val="en-US" w:eastAsia="zh-CN"/>
        </w:rPr>
        <w:t>6</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7</w:t>
      </w:r>
      <w:r>
        <w:rPr>
          <w:rFonts w:eastAsia="仿宋_GB2312"/>
          <w:color w:val="000000" w:themeColor="text1"/>
          <w:sz w:val="32"/>
          <w:szCs w:val="32"/>
          <w14:textFill>
            <w14:solidFill>
              <w14:schemeClr w14:val="tx1"/>
            </w14:solidFill>
          </w14:textFill>
        </w:rPr>
        <w:t>日</w:t>
      </w:r>
    </w:p>
    <w:p/>
    <w:sectPr>
      <w:headerReference r:id="rId3" w:type="default"/>
      <w:pgSz w:w="16783" w:h="23757"/>
      <w:pgMar w:top="454" w:right="1440" w:bottom="454" w:left="144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NzU2NTJiYmM3ZGE5ZjM0N2UwMGJiNTJkZDZjYWYifQ=="/>
  </w:docVars>
  <w:rsids>
    <w:rsidRoot w:val="00000000"/>
    <w:rsid w:val="01072929"/>
    <w:rsid w:val="06062666"/>
    <w:rsid w:val="1C37677D"/>
    <w:rsid w:val="1DDF0950"/>
    <w:rsid w:val="291F5B5B"/>
    <w:rsid w:val="3D357489"/>
    <w:rsid w:val="49F33EEA"/>
    <w:rsid w:val="4C85210F"/>
    <w:rsid w:val="4E6E2BA3"/>
    <w:rsid w:val="4F6F4DCB"/>
    <w:rsid w:val="57777486"/>
    <w:rsid w:val="5DFC369A"/>
    <w:rsid w:val="69BFF2F1"/>
    <w:rsid w:val="6E676D25"/>
    <w:rsid w:val="6ED92D02"/>
    <w:rsid w:val="75DE6087"/>
    <w:rsid w:val="FDFE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rFonts w:eastAsia="方正仿宋简体"/>
      <w:sz w:val="32"/>
    </w:rPr>
  </w:style>
  <w:style w:type="paragraph" w:styleId="3">
    <w:name w:val="Plain Text"/>
    <w:basedOn w:val="1"/>
    <w:qFormat/>
    <w:uiPriority w:val="0"/>
    <w:rPr>
      <w:rFonts w:hint="eastAsia" w:ascii="宋体" w:hAnsi="宋体" w:cs="Courier New"/>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966</Words>
  <Characters>1550</Characters>
  <Lines>0</Lines>
  <Paragraphs>0</Paragraphs>
  <TotalTime>31</TotalTime>
  <ScaleCrop>false</ScaleCrop>
  <LinksUpToDate>false</LinksUpToDate>
  <CharactersWithSpaces>1748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2023-04-05T07:13:00Z</dcterms:created>
  <dc:creator>Administrator</dc:creator>
  <cp:lastModifiedBy>user</cp:lastModifiedBy>
  <dcterms:modified xsi:type="dcterms:W3CDTF">2023-06-09T12:28:08Z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951FA399DC224BADA0D3377371C1EE1C</vt:lpwstr>
  </property>
</Properties>
</file>