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outlineLvl w:val="0"/>
        <w:rPr>
          <w:rFonts w:hint="eastAsia" w:ascii="方正小标宋简体" w:hAnsi="方正小标宋简体" w:eastAsia="方正小标宋简体" w:cs="方正小标宋简体"/>
          <w:b w:val="0"/>
          <w:bCs/>
          <w:color w:val="auto"/>
          <w:kern w:val="44"/>
          <w:sz w:val="44"/>
          <w:szCs w:val="24"/>
          <w:lang w:val="en-US" w:eastAsia="zh-CN" w:bidi="ar-SA"/>
        </w:rPr>
      </w:pPr>
      <w:r>
        <w:rPr>
          <w:rFonts w:hint="eastAsia" w:ascii="方正小标宋简体" w:hAnsi="方正小标宋简体" w:eastAsia="方正小标宋简体" w:cs="方正小标宋简体"/>
          <w:b w:val="0"/>
          <w:bCs/>
          <w:color w:val="auto"/>
          <w:kern w:val="44"/>
          <w:sz w:val="44"/>
          <w:szCs w:val="24"/>
          <w:lang w:val="en-US" w:eastAsia="zh-CN" w:bidi="ar-SA"/>
        </w:rPr>
        <w:t>安全生产“创安2021”监管执法专项行动检查事项清单</w:t>
      </w: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outlineLvl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（一）</w:t>
      </w:r>
      <w:r>
        <w:rPr>
          <w:rFonts w:hint="eastAsia" w:ascii="仿宋_GB2312" w:hAnsi="仿宋_GB2312" w:eastAsia="仿宋_GB2312" w:cs="仿宋_GB2312"/>
          <w:color w:val="auto"/>
          <w:sz w:val="30"/>
          <w:szCs w:val="30"/>
        </w:rPr>
        <w:t>危险化学品经营企业</w:t>
      </w:r>
      <w:r>
        <w:rPr>
          <w:rFonts w:hint="eastAsia" w:ascii="仿宋_GB2312" w:hAnsi="仿宋_GB2312" w:eastAsia="仿宋_GB2312" w:cs="仿宋_GB2312"/>
          <w:color w:val="auto"/>
          <w:sz w:val="30"/>
          <w:szCs w:val="30"/>
          <w:lang w:eastAsia="zh-CN"/>
        </w:rPr>
        <w:t>重点</w:t>
      </w:r>
      <w:r>
        <w:rPr>
          <w:rFonts w:hint="eastAsia" w:ascii="仿宋_GB2312" w:hAnsi="仿宋_GB2312" w:eastAsia="仿宋_GB2312" w:cs="仿宋_GB2312"/>
          <w:color w:val="auto"/>
          <w:sz w:val="30"/>
          <w:szCs w:val="30"/>
        </w:rPr>
        <w:t>检查</w:t>
      </w:r>
      <w:r>
        <w:rPr>
          <w:rFonts w:hint="eastAsia" w:ascii="仿宋_GB2312" w:hAnsi="仿宋_GB2312" w:eastAsia="仿宋_GB2312" w:cs="仿宋_GB2312"/>
          <w:color w:val="auto"/>
          <w:sz w:val="30"/>
          <w:szCs w:val="30"/>
          <w:lang w:eastAsia="zh-CN"/>
        </w:rPr>
        <w:t>事项</w:t>
      </w:r>
      <w:r>
        <w:rPr>
          <w:rFonts w:hint="eastAsia" w:ascii="仿宋_GB2312" w:hAnsi="仿宋_GB2312" w:eastAsia="仿宋_GB2312" w:cs="仿宋_GB2312"/>
          <w:color w:val="auto"/>
          <w:sz w:val="30"/>
          <w:szCs w:val="30"/>
        </w:rPr>
        <w:t>清单</w:t>
      </w:r>
    </w:p>
    <w:tbl>
      <w:tblPr>
        <w:tblStyle w:val="5"/>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1132"/>
        <w:gridCol w:w="3864"/>
        <w:gridCol w:w="3752"/>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4" w:hRule="atLeast"/>
          <w:tblHeader/>
          <w:jc w:val="center"/>
        </w:trPr>
        <w:tc>
          <w:tcPr>
            <w:tcW w:w="617"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序号</w:t>
            </w:r>
          </w:p>
        </w:tc>
        <w:tc>
          <w:tcPr>
            <w:tcW w:w="950"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检查事项</w:t>
            </w:r>
          </w:p>
        </w:tc>
        <w:tc>
          <w:tcPr>
            <w:tcW w:w="1132"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检查内容</w:t>
            </w:r>
          </w:p>
        </w:tc>
        <w:tc>
          <w:tcPr>
            <w:tcW w:w="3864"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检查依据</w:t>
            </w:r>
          </w:p>
        </w:tc>
        <w:tc>
          <w:tcPr>
            <w:tcW w:w="3752"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主要证据</w:t>
            </w:r>
          </w:p>
        </w:tc>
        <w:tc>
          <w:tcPr>
            <w:tcW w:w="3899"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法律责任（罚则）</w:t>
            </w:r>
          </w:p>
        </w:tc>
        <w:tc>
          <w:tcPr>
            <w:tcW w:w="951" w:type="dxa"/>
            <w:noWrap w:val="0"/>
            <w:vAlign w:val="center"/>
          </w:tcPr>
          <w:p>
            <w:pPr>
              <w:widowControl/>
              <w:adjustRightInd w:val="0"/>
              <w:snapToGrid w:val="0"/>
              <w:spacing w:line="200" w:lineRule="exact"/>
              <w:jc w:val="center"/>
              <w:rPr>
                <w:rFonts w:hint="eastAsia" w:ascii="黑体" w:hAnsi="黑体" w:eastAsia="黑体" w:cs="黑体"/>
                <w:b w:val="0"/>
                <w:bCs/>
                <w:color w:val="auto"/>
                <w:kern w:val="0"/>
                <w:sz w:val="18"/>
                <w:szCs w:val="18"/>
              </w:rPr>
            </w:pPr>
            <w:r>
              <w:rPr>
                <w:rFonts w:hint="eastAsia" w:ascii="黑体" w:hAnsi="黑体" w:eastAsia="黑体" w:cs="黑体"/>
                <w:b w:val="0"/>
                <w:bCs/>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430"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1</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危险化学品经营许可证情况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 xml:space="preserve">.1 </w:t>
            </w:r>
            <w:r>
              <w:rPr>
                <w:rFonts w:ascii="Times New Roman" w:hAnsi="Times New Roman" w:eastAsia="仿宋_GB2312"/>
                <w:color w:val="auto"/>
                <w:kern w:val="0"/>
                <w:sz w:val="18"/>
                <w:szCs w:val="18"/>
              </w:rPr>
              <w:t>经营许可证取得</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《危险化学品安全管理条例》第三十三条　</w:t>
            </w:r>
            <w:r>
              <w:rPr>
                <w:rFonts w:ascii="Times New Roman" w:hAnsi="Times New Roman" w:eastAsia="仿宋_GB2312"/>
                <w:color w:val="auto"/>
                <w:kern w:val="0"/>
                <w:sz w:val="18"/>
                <w:szCs w:val="18"/>
              </w:rPr>
              <w:t>国家对危险化学品经营（包括仓储经营，下同）实行许可制度。未经许可，任何单位和个人不得经营危险化学品。</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依法设立的危险化学品生产企业在其厂区范围内销售本企业生产的危险化学品，不需要取得危险化学品经营许可。</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依照《中华人民共和国港口法》的规定取得港口经营许可证的港口经营人，在港区内从事危险化学品仓储经营，不需要取得危险化学品经营许可。</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《危险化学品经营许可证管理办法》第二条 </w:t>
            </w:r>
            <w:r>
              <w:rPr>
                <w:rFonts w:ascii="Times New Roman" w:hAnsi="Times New Roman" w:eastAsia="仿宋_GB2312"/>
                <w:color w:val="auto"/>
                <w:kern w:val="0"/>
                <w:sz w:val="18"/>
                <w:szCs w:val="18"/>
              </w:rPr>
              <w:t>在中华人民共和国境内从事列入《危险化学品目录》的危险化学品的经营（包括仓储经营）活动，适用本办法。</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民用爆炸物品、放射性物品、核能物质和城镇燃气的经营活动，不适用本办法。</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《危险化学品经营许可证管理办法》第三条 </w:t>
            </w:r>
            <w:r>
              <w:rPr>
                <w:rFonts w:ascii="Times New Roman" w:hAnsi="Times New Roman" w:eastAsia="仿宋_GB2312"/>
                <w:color w:val="auto"/>
                <w:kern w:val="0"/>
                <w:sz w:val="18"/>
                <w:szCs w:val="18"/>
              </w:rPr>
              <w:t>国家对危险化学品经营实行许可制度。经营危险化学品的企业，应当依照本办法取得危险化学品经营许可证（以下简称经营许可证）。未取得经营许可证，任何单位和个人不得经营危险化学品。</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从事下列危险化学品经营活动，不需要取得经营许可证：</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（一）依法取得危险化学品安全生产许可证的危险化学品生产企业在其厂区范围内销售本企业生产的危险化学品的；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（二）依法取得港口经营许可证的港口经营人在港区内从事危险化学品仓储经营的。</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（3）主要负责人身份证；</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（4）主要负责人安全生产知识和管理能力考核合格证；</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（5）《现场检查记录》《现场处理措施决定书》《查封扣押决定书》等相关执法文书；</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（6）《询问笔录》</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（7）发证机关查询经营许可证办理事项内容相关资料；</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（8）主要负责人为委托授权的，收集委托授权书、委托事项；</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（9）销售合同及相关账务资料；</w:t>
            </w:r>
          </w:p>
          <w:p>
            <w:pPr>
              <w:keepNext w:val="0"/>
              <w:keepLines w:val="0"/>
              <w:pageBreakBefore w:val="0"/>
              <w:widowControl/>
              <w:kinsoku/>
              <w:wordWrap/>
              <w:overflowPunct/>
              <w:topLinePunct w:val="0"/>
              <w:autoSpaceDE/>
              <w:autoSpaceDN/>
              <w:bidi w:val="0"/>
              <w:adjustRightInd w:val="0"/>
              <w:snapToGrid w:val="0"/>
              <w:spacing w:line="22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 第三款</w:t>
            </w:r>
            <w:r>
              <w:rPr>
                <w:rFonts w:ascii="Times New Roman" w:hAnsi="Times New Roman" w:eastAsia="仿宋_GB2312"/>
                <w:color w:val="auto"/>
                <w:kern w:val="0"/>
                <w:sz w:val="18"/>
                <w:szCs w:val="18"/>
              </w:rPr>
              <w:t>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 未取得经营许可证从事危险化学品经营的，依照《</w:t>
            </w:r>
            <w:r>
              <w:rPr>
                <w:rFonts w:hint="eastAsia" w:ascii="Times New Roman" w:hAnsi="Times New Roman" w:eastAsia="仿宋_GB2312"/>
                <w:color w:val="auto"/>
                <w:kern w:val="0"/>
                <w:sz w:val="18"/>
                <w:szCs w:val="18"/>
              </w:rPr>
              <w:t>安全生产法</w:t>
            </w:r>
            <w:r>
              <w:rPr>
                <w:rFonts w:ascii="Times New Roman" w:hAnsi="Times New Roman" w:eastAsia="仿宋_GB2312"/>
                <w:color w:val="auto"/>
                <w:kern w:val="0"/>
                <w:sz w:val="18"/>
                <w:szCs w:val="18"/>
              </w:rPr>
              <w:t>》有关未经依法批准擅自生产、经营、储存危险物品的法律责任条款并处罚款；构成犯罪的，依法追究刑事责任。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p>
        </w:tc>
        <w:tc>
          <w:tcPr>
            <w:tcW w:w="950" w:type="dxa"/>
            <w:vMerge w:val="restart"/>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危险化学品经营许可证情况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 xml:space="preserve">.2 </w:t>
            </w:r>
            <w:r>
              <w:rPr>
                <w:rFonts w:ascii="Times New Roman" w:hAnsi="Times New Roman" w:eastAsia="仿宋_GB2312"/>
                <w:color w:val="auto"/>
                <w:kern w:val="0"/>
                <w:sz w:val="18"/>
                <w:szCs w:val="18"/>
              </w:rPr>
              <w:t>经营许可证延期</w:t>
            </w:r>
          </w:p>
        </w:tc>
        <w:tc>
          <w:tcPr>
            <w:tcW w:w="3864"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《危险化学品经营许可证管理办法》第十八条 </w:t>
            </w:r>
            <w:r>
              <w:rPr>
                <w:rFonts w:ascii="Times New Roman" w:hAnsi="Times New Roman" w:eastAsia="仿宋_GB2312"/>
                <w:color w:val="auto"/>
                <w:kern w:val="0"/>
                <w:sz w:val="18"/>
                <w:szCs w:val="18"/>
              </w:rPr>
              <w:t xml:space="preserve"> 经营许可证的有效期为3年。有效期满后，企业需要继续从事危险化学品经营活动的，应当在经营许可证有效期满3个月前，向本办法第五条规定的发证机关提出经营许可证的延期申请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企业提出经营许可证延期申请时，可以同时提出变更申请，并向发证机关提交相关文件、资料。</w:t>
            </w:r>
          </w:p>
        </w:tc>
        <w:tc>
          <w:tcPr>
            <w:tcW w:w="3752" w:type="dxa"/>
            <w:noWrap w:val="0"/>
            <w:vAlign w:val="center"/>
          </w:tcPr>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（3）《现场检查记录》《现场处理措施决定书》《查封扣押决定书》等相关执法文书；</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（5）发证机关查询经营许可证延期事项内容相关资料；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销售合同及相关账务资料；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 第三款</w:t>
            </w:r>
            <w:r>
              <w:rPr>
                <w:rFonts w:ascii="Times New Roman" w:hAnsi="Times New Roman" w:eastAsia="仿宋_GB2312"/>
                <w:color w:val="auto"/>
                <w:kern w:val="0"/>
                <w:sz w:val="18"/>
                <w:szCs w:val="18"/>
              </w:rP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 未取得经营许可证从事危险化学品经营的，依照《</w:t>
            </w:r>
            <w:r>
              <w:rPr>
                <w:rFonts w:hint="eastAsia" w:ascii="Times New Roman" w:hAnsi="Times New Roman" w:eastAsia="仿宋_GB2312"/>
                <w:color w:val="auto"/>
                <w:kern w:val="0"/>
                <w:sz w:val="18"/>
                <w:szCs w:val="18"/>
              </w:rPr>
              <w:t>安全生产法</w:t>
            </w:r>
            <w:r>
              <w:rPr>
                <w:rFonts w:ascii="Times New Roman" w:hAnsi="Times New Roman" w:eastAsia="仿宋_GB2312"/>
                <w:color w:val="auto"/>
                <w:kern w:val="0"/>
                <w:sz w:val="18"/>
                <w:szCs w:val="18"/>
              </w:rPr>
              <w:t>》有关未经依法批准擅自生产、经营、储存危险物品的法律责任条款并处罚款；构成犯罪的，依法追究刑事责任。</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3"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 xml:space="preserve">.3 </w:t>
            </w:r>
            <w:r>
              <w:rPr>
                <w:rFonts w:ascii="Times New Roman" w:hAnsi="Times New Roman" w:eastAsia="仿宋_GB2312"/>
                <w:color w:val="auto"/>
                <w:kern w:val="0"/>
                <w:sz w:val="18"/>
                <w:szCs w:val="18"/>
              </w:rPr>
              <w:t>经营许可证变更</w:t>
            </w:r>
          </w:p>
        </w:tc>
        <w:tc>
          <w:tcPr>
            <w:tcW w:w="3864"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《危险化学品经营许可证管理办法》第十四条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已经取得经营许可证的企业变更企业名称、主要负责人、注册地址或者危险化学品储存设施及其监控措施的，应当自变更之日起20个工作日内，向本办法第五条规定的发证机关提出书面变更申请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《危险化学品经营许可证管理办法》第十六条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3752" w:type="dxa"/>
            <w:noWrap w:val="0"/>
            <w:vAlign w:val="center"/>
          </w:tcPr>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（2）经营许可证； </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（3）营业执照、经营许可证主要负责人身份证；</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（4）主要负责人任职及职责分工文件；</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安全生产知识和管理能力培训合格证明文件；</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（5）主要负责人为委托授权的，收集委托授权书、委托事项；</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（6）危险化学品建设项目（新建、改建、扩建）安全设施竣工验收报告等相关文件、资料；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（7）发证机关查询经营许可证变更事项内容相关资料；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（9）《询问笔录》；</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《危险化学品经营许可证管理办法》第三十三条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已经取得经营许可证的企业出现本办法第十四条、第十六条规定的情形之一，未依照本办法的规定申请变更的，责令限期改正，处1万元以下的罚款；逾期仍不申请变更的，处1万元以上3万元以下的罚款。</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1"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 xml:space="preserve">.4 </w:t>
            </w:r>
            <w:r>
              <w:rPr>
                <w:rFonts w:ascii="Times New Roman" w:hAnsi="Times New Roman" w:eastAsia="仿宋_GB2312"/>
                <w:color w:val="auto"/>
                <w:kern w:val="0"/>
                <w:sz w:val="18"/>
                <w:szCs w:val="18"/>
              </w:rPr>
              <w:t>伪造、变造或者出租、出借、转让经营许可证，或者使用伪造、变造的经营许可证</w:t>
            </w:r>
          </w:p>
        </w:tc>
        <w:tc>
          <w:tcPr>
            <w:tcW w:w="3864"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《危险化学品经营许可证管理办法》第二十一条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任何单位和个人不得伪造、变造经营许可证，或者出租、出借、转让其取得的经营许可证，或者使用伪造、变造的经营许可证。</w:t>
            </w:r>
          </w:p>
        </w:tc>
        <w:tc>
          <w:tcPr>
            <w:tcW w:w="3752" w:type="dxa"/>
            <w:noWrap w:val="0"/>
            <w:vAlign w:val="center"/>
          </w:tcPr>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（3）发证机关查询登记情况资料；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（4）转让合同（或协议）；</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（5）《现场检查记录》《查封扣押决定书》等相关执法文书；</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（7）证人证言；</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《危险化学品经营许可证管理办法》第三十一条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2"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kern w:val="0"/>
                <w:sz w:val="18"/>
                <w:szCs w:val="18"/>
                <w:lang w:val="en-US" w:eastAsia="zh-CN"/>
              </w:rPr>
              <w:t>2</w:t>
            </w:r>
          </w:p>
        </w:tc>
        <w:tc>
          <w:tcPr>
            <w:tcW w:w="950"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.1 </w:t>
            </w:r>
            <w:r>
              <w:rPr>
                <w:rFonts w:ascii="Times New Roman" w:hAnsi="Times New Roman" w:eastAsia="仿宋_GB2312"/>
                <w:color w:val="auto"/>
                <w:kern w:val="0"/>
                <w:sz w:val="18"/>
                <w:szCs w:val="18"/>
              </w:rPr>
              <w:t>生产经营单位设置安全生产管理机构、配备专职安全管理人员情况</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《安全生产法》第二十一条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矿山、金属冶炼、建筑施工、道路运输单位和危险物品的生产、经营、储存单位，应当设置安全生产管理机构或者配备专职安全生产管理人员。</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b/>
                <w:bCs/>
                <w:color w:val="auto"/>
                <w:kern w:val="0"/>
                <w:sz w:val="18"/>
                <w:szCs w:val="18"/>
              </w:rPr>
            </w:pPr>
            <w:r>
              <w:rPr>
                <w:rFonts w:ascii="Times New Roman" w:hAnsi="Times New Roman" w:eastAsia="仿宋_GB2312"/>
                <w:b/>
                <w:color w:val="auto"/>
                <w:kern w:val="0"/>
                <w:sz w:val="18"/>
                <w:szCs w:val="18"/>
              </w:rPr>
              <w:t>《危险化学品生产企业安全生产许可证实施办法》第十二条</w:t>
            </w:r>
            <w:r>
              <w:rPr>
                <w:rFonts w:ascii="Times New Roman" w:hAnsi="Times New Roman" w:eastAsia="仿宋_GB2312"/>
                <w:color w:val="auto"/>
                <w:kern w:val="0"/>
                <w:sz w:val="18"/>
                <w:szCs w:val="18"/>
              </w:rPr>
              <w:t> 企业应当依法设置安全生产管理机构，配备专职安全生产管理人员。配备的专职安全生产管理人员必须能够满足安全生产的需要。</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工业和信息化部关于危险化学品企业贯彻落实</w:t>
            </w:r>
            <w:r>
              <w:rPr>
                <w:rFonts w:hint="eastAsia" w:ascii="Times New Roman" w:hAnsi="Times New Roman" w:eastAsia="仿宋_GB2312"/>
                <w:b/>
                <w:bCs/>
                <w:color w:val="auto"/>
                <w:kern w:val="0"/>
                <w:sz w:val="18"/>
                <w:szCs w:val="18"/>
              </w:rPr>
              <w:t>&lt;</w:t>
            </w:r>
            <w:r>
              <w:rPr>
                <w:rFonts w:ascii="Times New Roman" w:hAnsi="Times New Roman" w:eastAsia="仿宋_GB2312"/>
                <w:b/>
                <w:bCs/>
                <w:color w:val="auto"/>
                <w:kern w:val="0"/>
                <w:sz w:val="18"/>
                <w:szCs w:val="18"/>
              </w:rPr>
              <w:t>国务院关于进一步加强</w:t>
            </w:r>
            <w:r>
              <w:rPr>
                <w:rFonts w:hint="eastAsia" w:ascii="Times New Roman" w:hAnsi="Times New Roman" w:eastAsia="仿宋_GB2312"/>
                <w:b/>
                <w:bCs/>
                <w:color w:val="auto"/>
                <w:kern w:val="0"/>
                <w:sz w:val="18"/>
                <w:szCs w:val="18"/>
              </w:rPr>
              <w:t>企业</w:t>
            </w:r>
            <w:r>
              <w:rPr>
                <w:rFonts w:ascii="Times New Roman" w:hAnsi="Times New Roman" w:eastAsia="仿宋_GB2312"/>
                <w:b/>
                <w:bCs/>
                <w:color w:val="auto"/>
                <w:kern w:val="0"/>
                <w:sz w:val="18"/>
                <w:szCs w:val="18"/>
              </w:rPr>
              <w:t>安全生产工作的通知</w:t>
            </w:r>
            <w:r>
              <w:rPr>
                <w:rFonts w:hint="eastAsia" w:ascii="Times New Roman" w:hAnsi="Times New Roman" w:eastAsia="仿宋_GB2312"/>
                <w:b/>
                <w:bCs/>
                <w:color w:val="auto"/>
                <w:kern w:val="0"/>
                <w:sz w:val="18"/>
                <w:szCs w:val="18"/>
              </w:rPr>
              <w:t>&gt;</w:t>
            </w:r>
            <w:r>
              <w:rPr>
                <w:rFonts w:ascii="Times New Roman" w:hAnsi="Times New Roman" w:eastAsia="仿宋_GB2312"/>
                <w:b/>
                <w:bCs/>
                <w:color w:val="auto"/>
                <w:kern w:val="0"/>
                <w:sz w:val="18"/>
                <w:szCs w:val="18"/>
              </w:rPr>
              <w:t>的实施意见》（安监总管三[2010]186号）</w:t>
            </w:r>
            <w:r>
              <w:rPr>
                <w:rFonts w:hint="eastAsia" w:ascii="Times New Roman" w:hAnsi="Times New Roman" w:eastAsia="仿宋_GB2312"/>
                <w:b/>
                <w:bCs/>
                <w:color w:val="auto"/>
                <w:kern w:val="0"/>
                <w:sz w:val="18"/>
                <w:szCs w:val="18"/>
              </w:rPr>
              <w:t xml:space="preserve">第一条第3款  </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专职安全生产管理人员不少于企业员工总数的2%（不足50人的企业至少配备1人）</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企业应当有危险物品安全类注册安全工程师从事安全生产管理工作。</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《注册安全工程师管理规定》第六条 </w:t>
            </w:r>
            <w:r>
              <w:rPr>
                <w:rFonts w:ascii="Times New Roman" w:hAnsi="Times New Roman" w:eastAsia="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前款规定以外的其他生产经营单位，应当配备注册安全工程师或者委托安全生产中介机构选派注册安全工程师提供安全生产服务。</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《危险化学品经营许可证管理办法》第八条 </w:t>
            </w:r>
            <w:r>
              <w:rPr>
                <w:rFonts w:ascii="Times New Roman" w:hAnsi="Times New Roman" w:eastAsia="仿宋_GB2312"/>
                <w:color w:val="auto"/>
                <w:kern w:val="0"/>
                <w:sz w:val="18"/>
                <w:szCs w:val="18"/>
              </w:rPr>
              <w:t>申请人带有储存设施经营危险化学品的，除符合本办法第六条规定的条件外，还应当具备下列条件：</w:t>
            </w:r>
          </w:p>
          <w:p>
            <w:pPr>
              <w:widowControl/>
              <w:adjustRightInd w:val="0"/>
              <w:snapToGrid w:val="0"/>
              <w:spacing w:line="200" w:lineRule="exact"/>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（四）专职安全生产管理人员具备国民教育化工化学类或者安全工程类中等职业教育以上学历，或者化工化学类中级以上专业技术职称，或者危险物品安全类注册安全工程师资格；</w:t>
            </w:r>
            <w:r>
              <w:rPr>
                <w:rFonts w:hint="eastAsia" w:ascii="Times New Roman" w:hAnsi="Times New Roman" w:eastAsia="仿宋_GB2312"/>
                <w:color w:val="auto"/>
                <w:kern w:val="0"/>
                <w:sz w:val="18"/>
                <w:szCs w:val="18"/>
              </w:rPr>
              <w:t>......</w:t>
            </w:r>
          </w:p>
        </w:tc>
        <w:tc>
          <w:tcPr>
            <w:tcW w:w="375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（2）企业安全生产许可证或经营许可证；</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（3）设置安全生产管理机构的文件；</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（4）配备专职安全生产管理人员的文件；</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（5）企业员工人数和安全管理人员配备数量比例（2%）；</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（6）注册安全工程师配备人数；</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）有关人员的培训考核合格证、学历、资格证书；</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）《现场检查记录》《责令限期整改指令书》《现场处理措施决定书》《查封扣押决定书》等相关执法文书；</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w:t>
            </w:r>
            <w:r>
              <w:rPr>
                <w:rFonts w:ascii="Times New Roman" w:hAnsi="Times New Roman" w:eastAsia="仿宋_GB2312"/>
                <w:bCs/>
                <w:color w:val="auto"/>
                <w:sz w:val="18"/>
                <w:szCs w:val="18"/>
              </w:rPr>
              <w:t>企业相关人员任职文件、身份证明及其询问笔录</w:t>
            </w:r>
            <w:r>
              <w:rPr>
                <w:rFonts w:hint="eastAsia"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p>
            <w:pPr>
              <w:widowControl/>
              <w:adjustRightInd w:val="0"/>
              <w:snapToGrid w:val="0"/>
              <w:spacing w:line="200" w:lineRule="exact"/>
              <w:rPr>
                <w:rFonts w:ascii="Times New Roman" w:hAnsi="Times New Roman" w:eastAsia="仿宋_GB2312"/>
                <w:color w:val="auto"/>
                <w:kern w:val="0"/>
                <w:sz w:val="18"/>
                <w:szCs w:val="18"/>
              </w:rPr>
            </w:pP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  </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（一）未按照规定设置安全生产管理机构或者配备安全生产管理人员的；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107"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2</w:t>
            </w:r>
          </w:p>
        </w:tc>
        <w:tc>
          <w:tcPr>
            <w:tcW w:w="950"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.2 </w:t>
            </w:r>
            <w:r>
              <w:rPr>
                <w:rFonts w:ascii="Times New Roman" w:hAnsi="Times New Roman" w:eastAsia="仿宋_GB2312"/>
                <w:color w:val="auto"/>
                <w:kern w:val="0"/>
                <w:sz w:val="18"/>
                <w:szCs w:val="18"/>
              </w:rPr>
              <w:t>主要负责人和安全管理人员安全生产知识和管理能力及考核</w:t>
            </w:r>
            <w:r>
              <w:rPr>
                <w:rFonts w:hint="eastAsia" w:ascii="Times New Roman" w:hAnsi="Times New Roman" w:eastAsia="仿宋_GB2312"/>
                <w:color w:val="auto"/>
                <w:kern w:val="0"/>
                <w:sz w:val="18"/>
                <w:szCs w:val="18"/>
              </w:rPr>
              <w:t>（重大隐患）</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《安全生产法》第二十四条</w:t>
            </w:r>
            <w:r>
              <w:rPr>
                <w:rFonts w:ascii="Times New Roman" w:hAnsi="Times New Roman" w:eastAsia="仿宋_GB2312"/>
                <w:color w:val="auto"/>
                <w:kern w:val="0"/>
                <w:sz w:val="18"/>
                <w:szCs w:val="18"/>
              </w:rPr>
              <w:t xml:space="preserve">  生产经营单位的主要负责人和安全生产管理人员必须具备与本单位所从事的生产经营活动相应的安全生产知识和管理能力。</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危险物品的生产、经营、储存单位以及矿山、金属冶炼、建筑施工、道路运输单位的主要负责人和安全生产管理人员，应当由主管的负有安全生产监督管理职责的部门对其安全生产知识和管理能力考核合格。</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危险化学品生产企业安全生产许可证实施办法》第十六条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《危险化学品经营许可证管理办法》第六条</w:t>
            </w:r>
            <w:r>
              <w:rPr>
                <w:rFonts w:ascii="Times New Roman" w:hAnsi="Times New Roman" w:eastAsia="仿宋_GB2312"/>
                <w:color w:val="auto"/>
                <w:kern w:val="0"/>
                <w:sz w:val="18"/>
                <w:szCs w:val="18"/>
              </w:rPr>
              <w:t> 从事危险化学品经营的单位（以下统称申请人）应当依法登记注册为企业，并具备下列基本条件：</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《生产经营单位安全培训规定》第二十四条 </w:t>
            </w:r>
            <w:r>
              <w:rPr>
                <w:rFonts w:ascii="Times New Roman" w:hAnsi="Times New Roman" w:eastAsia="仿宋_GB2312"/>
                <w:color w:val="auto"/>
                <w:kern w:val="0"/>
                <w:sz w:val="18"/>
                <w:szCs w:val="18"/>
              </w:rPr>
              <w:t>煤矿、非煤矿山、危险化学品、烟花爆竹、金属冶炼等生产经营单位主要负责人和安全生产管理人员，自任职之日起6个月内，必须经安全生产监管监察部门对其安全生产知识和管理能力考核合格。</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（2）企业安全生产许可证或经营许可证；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（3）主要负责人、分管安全负责人、安全生产管理人员等的任职证明文件；</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（4）主要负责人、分管安全负责人、安全生产管理人员的《安全生产知识和管理能力培训考核合格证》；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（5）危险化学品生产企业分管安全负责人、分管生产负责人、分管技术负责人、专职安全管理人员的学历证明；</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（6）危险物品安全类注册安全工程师的资格证书；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（7）主要负责人、分管安全负责人、安全生产管理人员等安全教育培训档案；</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（8）有关人员的身份证；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（9）《现场检查记录》《责令限期整改指令书》《现场处理措施决定书》《查封扣押决定书》等相关执法文书；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（10）《询问笔录》；</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（二）危险物品的生产、经营、储存单位以及矿山、金属冶炼、建筑施工、道路运输单位的主要负责人和安全生产管理人员未按照规定经考核合格的；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 企业取得安全生产许可证后发现其不具备本办法规定的安全生产条件的，依法暂扣其安全生产许可证1个月以上6个月以下；暂扣期满仍不具备本办法规定的安全生产条件的，依法吊销其安全生产许可证。</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《生产经营单位安全培训规定》第三十条</w:t>
            </w:r>
            <w:r>
              <w:rPr>
                <w:rFonts w:ascii="Times New Roman" w:hAnsi="Times New Roman" w:eastAsia="仿宋_GB2312"/>
                <w:color w:val="auto"/>
                <w:kern w:val="0"/>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 </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（一）煤矿、非煤矿山、危险化学品、烟花爆竹、金属冶炼等生产经营单位主要负责人和安全管理人员未按照规定经考核合格的；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2</w:t>
            </w:r>
          </w:p>
        </w:tc>
        <w:tc>
          <w:tcPr>
            <w:tcW w:w="950" w:type="dxa"/>
            <w:vMerge w:val="restart"/>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.3 </w:t>
            </w:r>
            <w:r>
              <w:rPr>
                <w:rFonts w:ascii="Times New Roman" w:hAnsi="Times New Roman" w:eastAsia="仿宋_GB2312"/>
                <w:color w:val="auto"/>
                <w:kern w:val="0"/>
                <w:sz w:val="18"/>
                <w:szCs w:val="18"/>
              </w:rPr>
              <w:t>从业人员安全生产教育培训</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《安全生产法》第二十五条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（3）新上岗从业人员登记表；</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（4）新上岗从业人员身份证；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（5）新上岗从业人员培训记录（签到表、培训内容、考核试卷、考核成绩等）；</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（6）安全生产教育和培训计划；</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（7）人员岗前三级教育和培训档案；</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（8）培训考核结果、录用情况；</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（三）未按照规定对从业人员、被派遣劳动者、实习学生进行安全生产教育和培训，或者未按照规定如实告知有关的安全生产事项的；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（四）</w:t>
            </w:r>
            <w:r>
              <w:rPr>
                <w:rFonts w:ascii="Times New Roman" w:hAnsi="Times New Roman" w:eastAsia="仿宋_GB2312"/>
                <w:color w:val="auto"/>
                <w:kern w:val="0"/>
                <w:sz w:val="18"/>
                <w:szCs w:val="18"/>
              </w:rPr>
              <w:t>未如实记录安全生产教育和培训情况的；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.4 </w:t>
            </w:r>
            <w:r>
              <w:rPr>
                <w:rFonts w:ascii="Times New Roman" w:hAnsi="Times New Roman" w:eastAsia="仿宋_GB2312"/>
                <w:color w:val="auto"/>
                <w:kern w:val="0"/>
                <w:sz w:val="18"/>
                <w:szCs w:val="18"/>
              </w:rPr>
              <w:t>从业人员“四新”培训</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《安全生产法》第二十六条</w:t>
            </w:r>
            <w:r>
              <w:rPr>
                <w:rFonts w:ascii="Times New Roman" w:hAnsi="Times New Roman" w:eastAsia="仿宋_GB2312"/>
                <w:color w:val="auto"/>
                <w:kern w:val="0"/>
                <w:sz w:val="18"/>
                <w:szCs w:val="18"/>
              </w:rPr>
              <w:t xml:space="preserve">  生产经营单位采用新工艺、新技术、新材料或者使用新设备，必须了解、掌握其安全技术特性，采取有效的安全防护措施，并对从业人员进行专门的安全生产教育和培训。</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（3）“四新”项目有关资料；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（4）从事“四新”项目工作人员名单及其身份证；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（5）“四新”从业人员培训记录和档案（培训签到表，包括师资安排、安全技术特性、安全防护措施等培训内容，考核试卷和结果等）；</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（三）未按照规定对从业人员、被派遣劳动</w:t>
            </w:r>
            <w:r>
              <w:rPr>
                <w:rFonts w:ascii="Times New Roman" w:hAnsi="Times New Roman" w:eastAsia="仿宋_GB2312"/>
                <w:color w:val="auto"/>
                <w:kern w:val="0"/>
                <w:sz w:val="18"/>
                <w:szCs w:val="18"/>
              </w:rPr>
              <w:t>者、实习学生进行安全生产教育和培训，或者未按照规定如实告知有关的安全生产事项的；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308"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2</w:t>
            </w:r>
          </w:p>
        </w:tc>
        <w:tc>
          <w:tcPr>
            <w:tcW w:w="950" w:type="dxa"/>
            <w:vMerge w:val="restart"/>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.5 </w:t>
            </w:r>
            <w:r>
              <w:rPr>
                <w:rFonts w:ascii="Times New Roman" w:hAnsi="Times New Roman" w:eastAsia="仿宋_GB2312"/>
                <w:color w:val="auto"/>
                <w:kern w:val="0"/>
                <w:sz w:val="18"/>
                <w:szCs w:val="18"/>
              </w:rPr>
              <w:t>从业人员培训时间和培训记录</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w:t>
            </w:r>
            <w:r>
              <w:rPr>
                <w:rFonts w:ascii="Times New Roman" w:hAnsi="Times New Roman" w:eastAsia="仿宋_GB2312"/>
                <w:b/>
                <w:color w:val="auto"/>
                <w:kern w:val="0"/>
                <w:sz w:val="18"/>
                <w:szCs w:val="18"/>
              </w:rPr>
              <w:t>第十一条</w:t>
            </w:r>
            <w:r>
              <w:rPr>
                <w:rFonts w:ascii="Times New Roman" w:hAnsi="Times New Roman" w:eastAsia="仿宋_GB2312"/>
                <w:color w:val="auto"/>
                <w:kern w:val="0"/>
                <w:sz w:val="18"/>
                <w:szCs w:val="18"/>
              </w:rPr>
              <w:t xml:space="preserve">  生产经营单位从业人员的培训内容和培训时间，应当符合《生产经营单位安全培训规定》和有关标准的规定。</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《生产经营单位安全培训规定》第九条</w:t>
            </w:r>
            <w:r>
              <w:rPr>
                <w:rFonts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 xml:space="preserve">第二款 </w:t>
            </w:r>
            <w:r>
              <w:rPr>
                <w:rFonts w:ascii="Times New Roman" w:hAnsi="Times New Roman" w:eastAsia="仿宋_GB2312"/>
                <w:color w:val="auto"/>
                <w:kern w:val="0"/>
                <w:sz w:val="18"/>
                <w:szCs w:val="18"/>
              </w:rPr>
              <w:t xml:space="preserve"> 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等生产经营单位主要负责人和安全生产管理人员</w:t>
            </w:r>
            <w:r>
              <w:rPr>
                <w:rFonts w:hint="eastAsia" w:ascii="Times New Roman" w:hAnsi="Times New Roman" w:eastAsia="仿宋_GB2312"/>
                <w:color w:val="auto"/>
                <w:kern w:val="0"/>
                <w:sz w:val="18"/>
                <w:szCs w:val="18"/>
              </w:rPr>
              <w:t>初次</w:t>
            </w:r>
            <w:r>
              <w:rPr>
                <w:rFonts w:ascii="Times New Roman" w:hAnsi="Times New Roman" w:eastAsia="仿宋_GB2312"/>
                <w:color w:val="auto"/>
                <w:kern w:val="0"/>
                <w:sz w:val="18"/>
                <w:szCs w:val="18"/>
              </w:rPr>
              <w:t>安全培训时间不得少于48学时</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每年再培训时间不得少于16学时。</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《生产经营单位安全培训规定》第十三条 第二款</w:t>
            </w:r>
            <w:r>
              <w:rPr>
                <w:rFonts w:ascii="Times New Roman" w:hAnsi="Times New Roman" w:eastAsia="仿宋_GB2312"/>
                <w:color w:val="auto"/>
                <w:kern w:val="0"/>
                <w:sz w:val="18"/>
                <w:szCs w:val="18"/>
              </w:rPr>
              <w:t xml:space="preserve">  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等生产经营单位新上岗的从业人员安全培训时间不得少于72学时，每年再培训的时间不得少于20学时。</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kern w:val="0"/>
                <w:sz w:val="18"/>
                <w:szCs w:val="18"/>
              </w:rPr>
              <w:t>第二十二条</w:t>
            </w:r>
            <w:r>
              <w:rPr>
                <w:rFonts w:ascii="Times New Roman" w:hAnsi="Times New Roman" w:eastAsia="仿宋_GB2312"/>
                <w:color w:val="auto"/>
                <w:kern w:val="0"/>
                <w:sz w:val="18"/>
                <w:szCs w:val="18"/>
              </w:rPr>
              <w:t> 生产经营单位应当建立健全从业人员安全生产教育和培训档案，由生产经营单位的安全生产管理机构以及安全生产管理人员详细、准确记录培训的时间、内容、参加人员以及考核结果等情况。</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（3）从业人员花名册；</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（4）从业人员安全生产教育和培训档案；</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（5）主要负责人和安全生产管理人员复训资料（培训合格证）；</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（6）安全生产教育和培训计划；</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（7）安全生产培训计划实施相关资料；</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color w:val="auto"/>
                <w:sz w:val="18"/>
                <w:szCs w:val="18"/>
              </w:rPr>
              <w:t>《安全生产培训管理办法》第三十六条</w:t>
            </w:r>
            <w:r>
              <w:rPr>
                <w:rFonts w:ascii="Times New Roman" w:hAnsi="Times New Roman" w:eastAsia="仿宋_GB2312"/>
                <w:color w:val="auto"/>
                <w:sz w:val="18"/>
                <w:szCs w:val="18"/>
              </w:rPr>
              <w:t xml:space="preserve">  生产经营单位有下列情形之一的，责令改正，处3万元以下的罚款：</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sz w:val="18"/>
                <w:szCs w:val="18"/>
              </w:rPr>
            </w:pPr>
            <w:r>
              <w:rPr>
                <w:rFonts w:ascii="Times New Roman" w:hAnsi="Times New Roman" w:eastAsia="仿宋_GB2312"/>
                <w:color w:val="auto"/>
                <w:sz w:val="18"/>
                <w:szCs w:val="18"/>
              </w:rPr>
              <w:t>（一）从业人员安全培训的时间少于《生产经营单位安全培训规定》或者有关标准规定的；</w:t>
            </w:r>
            <w:r>
              <w:rPr>
                <w:rFonts w:hint="eastAsia" w:ascii="Times New Roman" w:hAnsi="Times New Roman" w:eastAsia="仿宋_GB2312"/>
                <w:color w:val="auto"/>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sz w:val="18"/>
                <w:szCs w:val="18"/>
              </w:rPr>
              <w:t>第三十条</w:t>
            </w:r>
            <w:r>
              <w:rPr>
                <w:rFonts w:ascii="Times New Roman" w:hAnsi="Times New Roman" w:eastAsia="仿宋_GB2312"/>
                <w:color w:val="auto"/>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 </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（三）未如实记录安全生产教育和培训情况的；</w:t>
            </w:r>
            <w:r>
              <w:rPr>
                <w:rFonts w:hint="eastAsia" w:ascii="Times New Roman" w:hAnsi="Times New Roman" w:eastAsia="仿宋_GB2312"/>
                <w:color w:val="auto"/>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10"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.6 </w:t>
            </w:r>
            <w:r>
              <w:rPr>
                <w:rFonts w:ascii="Times New Roman" w:hAnsi="Times New Roman" w:eastAsia="仿宋_GB2312"/>
                <w:color w:val="auto"/>
                <w:kern w:val="0"/>
                <w:sz w:val="18"/>
                <w:szCs w:val="18"/>
              </w:rPr>
              <w:t>告知从业人员安全生产事项</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《安全生产法》第四十一条</w:t>
            </w:r>
            <w:r>
              <w:rPr>
                <w:rFonts w:ascii="Times New Roman" w:hAnsi="Times New Roman" w:eastAsia="仿宋_GB2312"/>
                <w:color w:val="auto"/>
                <w:kern w:val="0"/>
                <w:sz w:val="18"/>
                <w:szCs w:val="18"/>
              </w:rPr>
              <w:t xml:space="preserve">  生产经营单位应当教育和督促从业人员严格执行本单位的安全生产规章制度和安全操作规程；并向从业人员如实告知作业场所和工作岗位存在的危险因素、防范措施以及事故应急措施。</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（3）生产经营单位安全生产规章制度和安全操作规程学习记录（包括学习内容、人员签到表、学习时间、考核情况等）；</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（4）作业场所和工作岗位存在的危险因素辨识和登记表或者记录；</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（5）危害因素告知单、防范措施、应急措施；</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lang w:val="en-US" w:eastAsia="zh-CN"/>
              </w:rPr>
              <w:t>2</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7</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危险工艺操作岗位</w:t>
            </w:r>
            <w:r>
              <w:rPr>
                <w:rFonts w:ascii="Times New Roman" w:hAnsi="Times New Roman" w:eastAsia="仿宋_GB2312"/>
                <w:color w:val="auto"/>
                <w:kern w:val="0"/>
                <w:sz w:val="18"/>
                <w:szCs w:val="18"/>
              </w:rPr>
              <w:t>作业人员实习上岗</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《安全生产培训管理办法》第十三条</w:t>
            </w:r>
            <w:r>
              <w:rPr>
                <w:rFonts w:hint="eastAsia" w:ascii="Times New Roman" w:hAnsi="Times New Roman" w:eastAsia="仿宋_GB2312"/>
                <w:b/>
                <w:color w:val="auto"/>
                <w:sz w:val="18"/>
                <w:szCs w:val="18"/>
              </w:rPr>
              <w:t>第二款</w:t>
            </w:r>
            <w:r>
              <w:rPr>
                <w:rFonts w:ascii="Times New Roman" w:hAnsi="Times New Roman" w:eastAsia="仿宋_GB2312"/>
                <w:b/>
                <w:color w:val="auto"/>
                <w:sz w:val="18"/>
                <w:szCs w:val="18"/>
              </w:rPr>
              <w:t xml:space="preserve">  </w:t>
            </w:r>
            <w:r>
              <w:rPr>
                <w:rFonts w:ascii="Times New Roman" w:hAnsi="Times New Roman" w:eastAsia="仿宋_GB2312"/>
                <w:color w:val="auto"/>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（3）新招人员登记表；</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（4）三级教育培训档案；</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（5）企业涉及的危险工艺（包括名称、流程、操作规程、重点环节、危害因素、防范措施、应急处置措施等）；</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（6）带班老师资料（包括从事该危险工艺操作经历、姓名等基本情况）；</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（7）带班实习记录或操作记录；</w:t>
            </w:r>
          </w:p>
          <w:p>
            <w:pPr>
              <w:keepNext w:val="0"/>
              <w:keepLines w:val="0"/>
              <w:pageBreakBefore w:val="0"/>
              <w:widowControl/>
              <w:kinsoku/>
              <w:wordWrap/>
              <w:overflowPunct/>
              <w:topLinePunct w:val="0"/>
              <w:autoSpaceDE/>
              <w:autoSpaceDN/>
              <w:bidi w:val="0"/>
              <w:adjustRightInd w:val="0"/>
              <w:snapToGrid w:val="0"/>
              <w:spacing w:line="17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《安全生产培训管理办法》第三十六条</w:t>
            </w:r>
            <w:r>
              <w:rPr>
                <w:rFonts w:ascii="Times New Roman" w:hAnsi="Times New Roman" w:eastAsia="仿宋_GB2312"/>
                <w:color w:val="auto"/>
                <w:kern w:val="0"/>
                <w:sz w:val="18"/>
                <w:szCs w:val="18"/>
              </w:rPr>
              <w:t xml:space="preserve">  生产经营单位有下列情形之一的，责令改正，处3万元以下的罚款：</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（二）矿山新招的井下作业人员和危险物品生产经营单位新招的危险工艺操作岗位人员，未经实习期满独立上岗作业的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2</w:t>
            </w:r>
          </w:p>
        </w:tc>
        <w:tc>
          <w:tcPr>
            <w:tcW w:w="950" w:type="dxa"/>
            <w:vMerge w:val="restart"/>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特种作业人员培训取证</w:t>
            </w:r>
            <w:r>
              <w:rPr>
                <w:rFonts w:hint="eastAsia" w:ascii="Times New Roman" w:hAnsi="Times New Roman" w:eastAsia="仿宋_GB2312"/>
                <w:color w:val="auto"/>
                <w:kern w:val="0"/>
                <w:sz w:val="18"/>
                <w:szCs w:val="18"/>
              </w:rPr>
              <w:t>（重大隐患）</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《安全生产法》第二十七条</w:t>
            </w:r>
            <w:r>
              <w:rPr>
                <w:rFonts w:ascii="Times New Roman" w:hAnsi="Times New Roman" w:eastAsia="仿宋_GB2312"/>
                <w:color w:val="auto"/>
                <w:kern w:val="0"/>
                <w:sz w:val="18"/>
                <w:szCs w:val="18"/>
              </w:rPr>
              <w:t xml:space="preserve">  生产经营单位的特种作业人员必须按照国家有关规定经专门的安全作业培训，取得相应资格，方可上岗作业。</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特种作业人员的范围由国务院安全生产监督管理部门会同国务院有关部门确定。</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《特种作业人员安全技术培训考核管理规定》第三十四条</w:t>
            </w:r>
            <w:r>
              <w:rPr>
                <w:rFonts w:ascii="Times New Roman" w:hAnsi="Times New Roman" w:eastAsia="仿宋_GB2312"/>
                <w:color w:val="auto"/>
                <w:kern w:val="0"/>
                <w:sz w:val="18"/>
                <w:szCs w:val="18"/>
              </w:rPr>
              <w:t xml:space="preserve"> 生产经营单位应当加强对本单位特种作业人员的管理，建立健全特种作业人员培训、复审档案，做好申报、培训、考核、复审的组织工作和日常的检查工作。</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（3）特种作业人员登记表；</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（4）特种作业人员档案（培训、考核、复审等情况）；</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（5）特种作业人员身份证；</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（6）特种作业人员操作证证件；</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（7）特种作业人员管理部门及相关责任人和主要负责人责任制落实资料；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（8）现场取证资料（图片、视频等影像资料）；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（七）特种作业人员未按照规定经专门的安全作业培训并取得相应资格，上岗作业的。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《特种作业人员安全技术培训考核管理规定》第三十八条</w:t>
            </w:r>
            <w:r>
              <w:rPr>
                <w:rFonts w:ascii="Times New Roman" w:hAnsi="Times New Roman" w:eastAsia="仿宋_GB2312"/>
                <w:color w:val="auto"/>
                <w:kern w:val="0"/>
                <w:sz w:val="18"/>
                <w:szCs w:val="18"/>
              </w:rPr>
              <w:t> 生产经营单位未建立健全特种作业人员档案的，给予警告，并处1万元以下的罚款。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《特种作业人员安全技术培训考核管理规定》第三十九条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特种作业人员证书真实性</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 第三十六条</w:t>
            </w:r>
            <w:r>
              <w:rPr>
                <w:rFonts w:ascii="Times New Roman" w:hAnsi="Times New Roman" w:eastAsia="仿宋_GB2312"/>
                <w:color w:val="auto"/>
                <w:kern w:val="0"/>
                <w:sz w:val="18"/>
                <w:szCs w:val="18"/>
              </w:rPr>
              <w:t> 生产经营单位不得印制、伪造、倒卖特种作业操作证，或者使用非法印制、伪造、倒卖的特种作业操作证。</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特种作业人员不得伪造、涂改、转借、转让、冒用特种作业操作证或者使用伪造的特种作业操作证。</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（3）特种作业人员登记表；</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（4）特种作业人员档案（培训、考核、复审等情况）；</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（5）特种作业人员身份证；</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（6）特种作业人员操作证证件；</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（7）特种作业人员操作证真伪信息查阅资料；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（8）特种作业人员管理部门及相关责任人和主要负责人责任制落实资料；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（9）现场取证资料（图片、视频等影像资料）；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（10）《现场检查记录》等相关执法文书；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《特种作业人员安全技术培训考核管理规定》第四十条</w:t>
            </w:r>
            <w:r>
              <w:rPr>
                <w:rFonts w:ascii="Times New Roman" w:hAnsi="Times New Roman" w:eastAsia="仿宋_GB2312"/>
                <w:color w:val="auto"/>
                <w:kern w:val="0"/>
                <w:sz w:val="18"/>
                <w:szCs w:val="18"/>
              </w:rPr>
              <w:t> 生产经营单位非法印制、伪造、倒卖特种作业操作证，或者使用非法印制、伪造、倒卖的特种作业操作证的，给予警告，并处1万元以上3万元以下的罚款；构成犯罪的，依法追究刑事责任。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安全技术培训考核管理规定》第四十一条 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2</w:t>
            </w:r>
          </w:p>
        </w:tc>
        <w:tc>
          <w:tcPr>
            <w:tcW w:w="950"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选用不符合资质的承包商或未对承包商的安全生产工作统一协调、管理的</w:t>
            </w:r>
          </w:p>
        </w:tc>
        <w:tc>
          <w:tcPr>
            <w:tcW w:w="3864" w:type="dxa"/>
            <w:noWrap w:val="0"/>
            <w:vAlign w:val="center"/>
          </w:tcPr>
          <w:p>
            <w:pPr>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《安全生产法》第四十六条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75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（1）企业营业执照和相关许可证；</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（2）承包或承租单位营业执照和相关许可证；</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（3）承包或租赁合同；</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（4）安全生产管理协议；</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（5）主要负责人、合同（协议）签订人员的身份证；</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（6）对承包或承租单位安全生产检查记录；</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（7）隐患排查记录及整改落实情况；</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（8）现场取证资料（图片、视频等影像资料）；</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w:t>
            </w:r>
            <w:r>
              <w:rPr>
                <w:rFonts w:hint="eastAsia" w:ascii="Times New Roman" w:hAnsi="Times New Roman" w:eastAsia="仿宋_GB2312"/>
                <w:color w:val="auto"/>
                <w:kern w:val="0"/>
                <w:sz w:val="18"/>
                <w:szCs w:val="18"/>
              </w:rPr>
              <w:t>《责令限期整改指令书》《查封扣押决定书》</w:t>
            </w:r>
            <w:r>
              <w:rPr>
                <w:rFonts w:ascii="Times New Roman" w:hAnsi="Times New Roman" w:eastAsia="仿宋_GB2312"/>
                <w:color w:val="auto"/>
                <w:kern w:val="0"/>
                <w:sz w:val="18"/>
                <w:szCs w:val="18"/>
              </w:rPr>
              <w:t>等相关执法文书；</w:t>
            </w:r>
          </w:p>
          <w:p>
            <w:pPr>
              <w:widowControl/>
              <w:adjustRightInd w:val="0"/>
              <w:snapToGrid w:val="0"/>
              <w:spacing w:line="200" w:lineRule="exact"/>
              <w:rPr>
                <w:rFonts w:ascii="Times New Roman" w:hAnsi="Times New Roman" w:eastAsia="仿宋_GB2312"/>
                <w:bCs/>
                <w:color w:val="auto"/>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bCs/>
                <w:color w:val="auto"/>
                <w:sz w:val="18"/>
                <w:szCs w:val="18"/>
              </w:rPr>
              <w:t>（11</w:t>
            </w:r>
            <w:r>
              <w:rPr>
                <w:rFonts w:ascii="Times New Roman" w:hAnsi="Times New Roman" w:eastAsia="仿宋_GB2312"/>
                <w:color w:val="auto"/>
                <w:kern w:val="0"/>
                <w:sz w:val="18"/>
                <w:szCs w:val="18"/>
              </w:rPr>
              <w:t>）销售合同及相关账务资料；</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）其他相关证据。</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《安全生产法》第一百条</w:t>
            </w:r>
            <w:r>
              <w:rPr>
                <w:rFonts w:ascii="Times New Roman" w:hAnsi="Times New Roman" w:eastAsia="仿宋_GB2312"/>
                <w:color w:val="auto"/>
                <w:kern w:val="0"/>
                <w:sz w:val="18"/>
                <w:szCs w:val="18"/>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3</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设备设施管理情况</w:t>
            </w:r>
          </w:p>
        </w:tc>
        <w:tc>
          <w:tcPr>
            <w:tcW w:w="1132" w:type="dxa"/>
            <w:noWrap w:val="0"/>
            <w:vAlign w:val="center"/>
          </w:tcPr>
          <w:p>
            <w:pPr>
              <w:tabs>
                <w:tab w:val="center" w:pos="4153"/>
                <w:tab w:val="right" w:pos="8306"/>
              </w:tabs>
              <w:adjustRightInd w:val="0"/>
              <w:snapToGrid w:val="0"/>
              <w:spacing w:line="200" w:lineRule="exact"/>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3</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安全设备的安装、使用、检测、维修、改造和报废不符合国家标准或行业标准；或使用国家明令淘汰的危及生产安全的工艺、设备的</w:t>
            </w:r>
            <w:r>
              <w:rPr>
                <w:rFonts w:hint="eastAsia" w:ascii="Times New Roman" w:hAnsi="Times New Roman" w:eastAsia="仿宋_GB2312"/>
                <w:color w:val="auto"/>
                <w:sz w:val="18"/>
                <w:szCs w:val="18"/>
              </w:rPr>
              <w:t>（重大隐患）</w:t>
            </w:r>
          </w:p>
        </w:tc>
        <w:tc>
          <w:tcPr>
            <w:tcW w:w="3864" w:type="dxa"/>
            <w:noWrap w:val="0"/>
            <w:vAlign w:val="center"/>
          </w:tcPr>
          <w:p>
            <w:pPr>
              <w:spacing w:line="200" w:lineRule="exact"/>
              <w:ind w:right="412"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sz w:val="18"/>
                <w:szCs w:val="18"/>
              </w:rPr>
              <w:t>《安</w:t>
            </w:r>
            <w:r>
              <w:rPr>
                <w:rFonts w:ascii="Times New Roman" w:hAnsi="Times New Roman" w:eastAsia="仿宋_GB2312"/>
                <w:b/>
                <w:color w:val="auto"/>
                <w:sz w:val="18"/>
                <w:szCs w:val="18"/>
              </w:rPr>
              <w:t>全生产法》第三十三条</w:t>
            </w:r>
            <w:r>
              <w:rPr>
                <w:rFonts w:hint="eastAsia" w:ascii="Times New Roman" w:hAnsi="Times New Roman" w:eastAsia="仿宋_GB2312"/>
                <w:b/>
                <w:color w:val="auto"/>
                <w:sz w:val="18"/>
                <w:szCs w:val="18"/>
              </w:rPr>
              <w:t>第一款</w:t>
            </w:r>
            <w:r>
              <w:rPr>
                <w:rFonts w:ascii="Times New Roman" w:hAnsi="Times New Roman" w:eastAsia="仿宋_GB2312"/>
                <w:b/>
                <w:color w:val="auto"/>
                <w:sz w:val="18"/>
                <w:szCs w:val="18"/>
              </w:rPr>
              <w:t xml:space="preserve"> </w:t>
            </w:r>
            <w:r>
              <w:rPr>
                <w:rFonts w:ascii="Times New Roman" w:hAnsi="Times New Roman" w:eastAsia="仿宋_GB2312"/>
                <w:color w:val="auto"/>
                <w:sz w:val="18"/>
                <w:szCs w:val="18"/>
              </w:rPr>
              <w:t xml:space="preserve"> 安全设备的设计、制造、安装、使用、检测、维修、改造和报废，应当符合国家标准或者行业标准。</w:t>
            </w:r>
          </w:p>
          <w:p>
            <w:pPr>
              <w:spacing w:line="200" w:lineRule="exact"/>
              <w:ind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sz w:val="18"/>
                <w:szCs w:val="18"/>
              </w:rPr>
              <w:t>《安</w:t>
            </w:r>
            <w:r>
              <w:rPr>
                <w:rFonts w:ascii="Times New Roman" w:hAnsi="Times New Roman" w:eastAsia="仿宋_GB2312"/>
                <w:b/>
                <w:color w:val="auto"/>
                <w:sz w:val="18"/>
                <w:szCs w:val="18"/>
              </w:rPr>
              <w:t>全生产法》第三十五条</w:t>
            </w:r>
            <w:r>
              <w:rPr>
                <w:rFonts w:hint="eastAsia" w:ascii="Times New Roman" w:hAnsi="Times New Roman" w:eastAsia="仿宋_GB2312"/>
                <w:b/>
                <w:color w:val="auto"/>
                <w:sz w:val="18"/>
                <w:szCs w:val="18"/>
              </w:rPr>
              <w:t xml:space="preserve">第一款  </w:t>
            </w:r>
            <w:r>
              <w:rPr>
                <w:rFonts w:ascii="Times New Roman" w:hAnsi="Times New Roman" w:eastAsia="仿宋_GB2312"/>
                <w:color w:val="auto"/>
                <w:sz w:val="18"/>
                <w:szCs w:val="18"/>
              </w:rPr>
              <w:t>国家对严重危及生产安全的工艺、设备实行淘汰制度，具体目录由国务院安全生产监督管理部门会同国务院有关部门制定并公布。法律、行政法规对目录的制定另有规定的，适用其规定。</w:t>
            </w:r>
          </w:p>
          <w:p>
            <w:pPr>
              <w:spacing w:line="200" w:lineRule="exact"/>
              <w:ind w:firstLine="361" w:firstLineChars="200"/>
              <w:jc w:val="left"/>
              <w:rPr>
                <w:rFonts w:ascii="Times New Roman" w:hAnsi="Times New Roman" w:eastAsia="仿宋_GB2312"/>
                <w:b/>
                <w:bCs/>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关于印发淘汰落后安全技术装备目录（2015年第一批）的通知》（安监总科技〔2015〕75号）</w:t>
            </w:r>
          </w:p>
          <w:p>
            <w:pPr>
              <w:spacing w:line="200" w:lineRule="exact"/>
              <w:ind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关于印发淘汰落后安全技术工艺、设备目录（2016年）的通知》（安监总科技〔2016〕137号）</w:t>
            </w:r>
          </w:p>
        </w:tc>
        <w:tc>
          <w:tcPr>
            <w:tcW w:w="375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spacing w:line="200" w:lineRule="exact"/>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r>
              <w:rPr>
                <w:rFonts w:ascii="Times New Roman" w:hAnsi="Times New Roman" w:eastAsia="仿宋_GB2312"/>
                <w:color w:val="auto"/>
                <w:sz w:val="18"/>
                <w:szCs w:val="18"/>
              </w:rPr>
              <w:t>《安全设施设计》及其审查资料；</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sz w:val="18"/>
                <w:szCs w:val="18"/>
              </w:rPr>
              <w:t>（4）安全设施设备台账及其</w:t>
            </w:r>
            <w:r>
              <w:rPr>
                <w:rFonts w:ascii="Times New Roman" w:hAnsi="Times New Roman" w:eastAsia="仿宋_GB2312"/>
                <w:color w:val="auto"/>
                <w:kern w:val="0"/>
                <w:sz w:val="18"/>
                <w:szCs w:val="18"/>
              </w:rPr>
              <w:t>管理（安装、使用、检测、维修等）相关资料；</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adjustRightInd w:val="0"/>
              <w:snapToGrid w:val="0"/>
              <w:spacing w:line="200" w:lineRule="exact"/>
              <w:rPr>
                <w:rFonts w:ascii="Times New Roman" w:hAnsi="Times New Roman" w:eastAsia="仿宋_GB2312"/>
                <w:b/>
                <w:color w:val="auto"/>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19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《安全生产法》第九十六条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19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（二）</w:t>
            </w:r>
            <w:r>
              <w:rPr>
                <w:rFonts w:ascii="Times New Roman" w:hAnsi="Times New Roman" w:eastAsia="仿宋_GB2312"/>
                <w:color w:val="auto"/>
                <w:kern w:val="0"/>
                <w:sz w:val="18"/>
                <w:szCs w:val="18"/>
              </w:rPr>
              <w:t>安全设备的安装、使用、检测、改造和报废不符合国家标准或者行业标准的；</w:t>
            </w:r>
          </w:p>
          <w:p>
            <w:pPr>
              <w:keepNext w:val="0"/>
              <w:keepLines w:val="0"/>
              <w:pageBreakBefore w:val="0"/>
              <w:widowControl/>
              <w:kinsoku/>
              <w:wordWrap/>
              <w:overflowPunct/>
              <w:topLinePunct w:val="0"/>
              <w:autoSpaceDE/>
              <w:autoSpaceDN/>
              <w:bidi w:val="0"/>
              <w:adjustRightInd w:val="0"/>
              <w:snapToGrid w:val="0"/>
              <w:spacing w:line="19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（六）</w:t>
            </w:r>
            <w:r>
              <w:rPr>
                <w:rFonts w:ascii="Times New Roman" w:hAnsi="Times New Roman" w:eastAsia="仿宋_GB2312"/>
                <w:color w:val="auto"/>
                <w:kern w:val="0"/>
                <w:sz w:val="18"/>
                <w:szCs w:val="18"/>
              </w:rPr>
              <w:t>使用应当淘汰的危及生产安全的工艺、设备的。</w:t>
            </w:r>
          </w:p>
          <w:p>
            <w:pPr>
              <w:keepNext w:val="0"/>
              <w:keepLines w:val="0"/>
              <w:pageBreakBefore w:val="0"/>
              <w:widowControl/>
              <w:kinsoku/>
              <w:wordWrap/>
              <w:overflowPunct/>
              <w:topLinePunct w:val="0"/>
              <w:autoSpaceDE/>
              <w:autoSpaceDN/>
              <w:bidi w:val="0"/>
              <w:adjustRightInd w:val="0"/>
              <w:snapToGrid w:val="0"/>
              <w:spacing w:line="19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19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153"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3</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设备设施管理情况</w:t>
            </w:r>
          </w:p>
        </w:tc>
        <w:tc>
          <w:tcPr>
            <w:tcW w:w="1132" w:type="dxa"/>
            <w:noWrap w:val="0"/>
            <w:vAlign w:val="center"/>
          </w:tcPr>
          <w:p>
            <w:pPr>
              <w:keepNext w:val="0"/>
              <w:keepLines w:val="0"/>
              <w:pageBreakBefore w:val="0"/>
              <w:tabs>
                <w:tab w:val="center" w:pos="4153"/>
                <w:tab w:val="right" w:pos="8306"/>
              </w:tabs>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3</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2</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有毒有害、可燃气体泄漏检测报警系统未按照标准设置、使用或定期检测校验；以及报警信号未发送至有操作人员常驻的控制室、现场操作室进行报警的</w:t>
            </w:r>
            <w:r>
              <w:rPr>
                <w:rFonts w:hint="eastAsia" w:ascii="Times New Roman" w:hAnsi="Times New Roman" w:eastAsia="仿宋_GB2312"/>
                <w:color w:val="auto"/>
                <w:sz w:val="18"/>
                <w:szCs w:val="18"/>
              </w:rPr>
              <w:t>（重大隐患）</w:t>
            </w:r>
          </w:p>
        </w:tc>
        <w:tc>
          <w:tcPr>
            <w:tcW w:w="3864" w:type="dxa"/>
            <w:noWrap w:val="0"/>
            <w:vAlign w:val="center"/>
          </w:tcPr>
          <w:p>
            <w:pPr>
              <w:keepNext w:val="0"/>
              <w:keepLines w:val="0"/>
              <w:pageBreakBefore w:val="0"/>
              <w:kinsoku/>
              <w:wordWrap/>
              <w:overflowPunct/>
              <w:topLinePunct w:val="0"/>
              <w:autoSpaceDE/>
              <w:autoSpaceDN/>
              <w:bidi w:val="0"/>
              <w:spacing w:line="260" w:lineRule="exact"/>
              <w:ind w:firstLine="361" w:firstLineChars="200"/>
              <w:jc w:val="both"/>
              <w:textAlignment w:val="auto"/>
              <w:outlineLvl w:val="9"/>
              <w:rPr>
                <w:rFonts w:ascii="Times New Roman" w:hAnsi="Times New Roman" w:eastAsia="仿宋_GB2312"/>
                <w:color w:val="auto"/>
                <w:sz w:val="18"/>
                <w:szCs w:val="18"/>
              </w:rPr>
            </w:pPr>
            <w:r>
              <w:rPr>
                <w:rFonts w:ascii="Times New Roman" w:hAnsi="Times New Roman" w:eastAsia="仿宋_GB2312"/>
                <w:b/>
                <w:color w:val="auto"/>
                <w:sz w:val="18"/>
                <w:szCs w:val="18"/>
              </w:rPr>
              <w:t>《安全生产法》第三十三条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安全设备的设计、制造、安装、使用、检测、维修、改造和报废，应当符合国家标准或者行业标准。</w:t>
            </w:r>
          </w:p>
          <w:p>
            <w:pPr>
              <w:keepNext w:val="0"/>
              <w:keepLines w:val="0"/>
              <w:pageBreakBefore w:val="0"/>
              <w:kinsoku/>
              <w:wordWrap/>
              <w:overflowPunct/>
              <w:topLinePunct w:val="0"/>
              <w:autoSpaceDE/>
              <w:autoSpaceDN/>
              <w:bidi w:val="0"/>
              <w:spacing w:line="260" w:lineRule="exact"/>
              <w:ind w:firstLine="361" w:firstLineChars="200"/>
              <w:jc w:val="both"/>
              <w:textAlignment w:val="auto"/>
              <w:outlineLvl w:val="9"/>
              <w:rPr>
                <w:rFonts w:ascii="Times New Roman" w:hAnsi="Times New Roman" w:eastAsia="仿宋_GB2312"/>
                <w:b/>
                <w:color w:val="auto"/>
                <w:sz w:val="18"/>
                <w:szCs w:val="18"/>
              </w:rPr>
            </w:pPr>
            <w:r>
              <w:rPr>
                <w:rFonts w:ascii="Times New Roman" w:hAnsi="Times New Roman" w:eastAsia="仿宋_GB2312"/>
                <w:b/>
                <w:color w:val="auto"/>
                <w:sz w:val="18"/>
                <w:szCs w:val="18"/>
              </w:rPr>
              <w:t>《石油化工可燃气体和有毒气体检测报警设计</w:t>
            </w:r>
            <w:r>
              <w:rPr>
                <w:rFonts w:hint="eastAsia" w:ascii="Times New Roman" w:hAnsi="Times New Roman" w:eastAsia="仿宋_GB2312"/>
                <w:b/>
                <w:color w:val="auto"/>
                <w:sz w:val="18"/>
                <w:szCs w:val="18"/>
              </w:rPr>
              <w:t>标准</w:t>
            </w:r>
            <w:r>
              <w:rPr>
                <w:rFonts w:ascii="Times New Roman" w:hAnsi="Times New Roman" w:eastAsia="仿宋_GB2312"/>
                <w:b/>
                <w:color w:val="auto"/>
                <w:sz w:val="18"/>
                <w:szCs w:val="18"/>
              </w:rPr>
              <w:t>》（GB</w:t>
            </w:r>
            <w:r>
              <w:rPr>
                <w:rFonts w:hint="eastAsia" w:ascii="Times New Roman" w:hAnsi="Times New Roman" w:eastAsia="仿宋_GB2312"/>
                <w:b/>
                <w:color w:val="auto"/>
                <w:sz w:val="18"/>
                <w:szCs w:val="18"/>
              </w:rPr>
              <w:t>/T</w:t>
            </w:r>
            <w:r>
              <w:rPr>
                <w:rFonts w:ascii="Times New Roman" w:hAnsi="Times New Roman" w:eastAsia="仿宋_GB2312"/>
                <w:b/>
                <w:color w:val="auto"/>
                <w:sz w:val="18"/>
                <w:szCs w:val="18"/>
              </w:rPr>
              <w:t>50493-2019）</w:t>
            </w:r>
          </w:p>
        </w:tc>
        <w:tc>
          <w:tcPr>
            <w:tcW w:w="3752"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r>
              <w:rPr>
                <w:rFonts w:ascii="Times New Roman" w:hAnsi="Times New Roman" w:eastAsia="仿宋_GB2312"/>
                <w:color w:val="auto"/>
                <w:sz w:val="18"/>
                <w:szCs w:val="18"/>
              </w:rPr>
              <w:t>《安全设施设计》及其审查资料；</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sz w:val="18"/>
                <w:szCs w:val="18"/>
              </w:rPr>
              <w:t>（4）可燃有毒气体泄漏检测报警系统台账及其</w:t>
            </w:r>
            <w:r>
              <w:rPr>
                <w:rFonts w:ascii="Times New Roman" w:hAnsi="Times New Roman" w:eastAsia="仿宋_GB2312"/>
                <w:color w:val="auto"/>
                <w:kern w:val="0"/>
                <w:sz w:val="18"/>
                <w:szCs w:val="18"/>
              </w:rPr>
              <w:t>管理（安装、使用、检测、维修等）相关资料；</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（7）《询问笔录》；</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《安全生产法》第九十六条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（二）安全设备的安装、使用、检测、改造和报废不符合国家标准或者行业标准的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4</w:t>
            </w:r>
          </w:p>
        </w:tc>
        <w:tc>
          <w:tcPr>
            <w:tcW w:w="950" w:type="dxa"/>
            <w:vMerge w:val="restart"/>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3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val="en-US" w:eastAsia="zh-CN"/>
              </w:rPr>
              <w:t>1</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危险化学品未按照标准分区、分类、分库存放，或超量、超品种储存及相互禁忌物质混放混存</w:t>
            </w:r>
            <w:r>
              <w:rPr>
                <w:rFonts w:hint="eastAsia" w:ascii="Times New Roman" w:hAnsi="Times New Roman" w:eastAsia="仿宋_GB2312"/>
                <w:color w:val="auto"/>
                <w:kern w:val="0"/>
                <w:sz w:val="18"/>
                <w:szCs w:val="18"/>
              </w:rPr>
              <w:t>（重大隐患）</w:t>
            </w:r>
          </w:p>
        </w:tc>
        <w:tc>
          <w:tcPr>
            <w:tcW w:w="38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《危险化学品安全管理条例》第二十四条</w:t>
            </w:r>
            <w:r>
              <w:rPr>
                <w:rFonts w:ascii="Times New Roman" w:hAnsi="Times New Roman" w:eastAsia="仿宋_GB2312"/>
                <w:color w:val="auto"/>
                <w:kern w:val="0"/>
                <w:sz w:val="18"/>
                <w:szCs w:val="18"/>
              </w:rPr>
              <w:t xml:space="preserve">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危险化学品的储存方式、方法以及储存数量应当符合国家标准或者国家有关规定。</w:t>
            </w:r>
          </w:p>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《常用化学危险品贮存通则》（GB 15603-1995）</w:t>
            </w:r>
          </w:p>
        </w:tc>
        <w:tc>
          <w:tcPr>
            <w:tcW w:w="375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（3）《安全设施设计专篇》及其审查资料；（收集企业总平面设计，分区、分类、分库设计资料）；</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（4）企业原料和产品进出库管理登记台账和票据；</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（5）安全评价报告(收集安全风险因素分析、储存方式、方法以及储存数量资料)；</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（6）企业安全管理制度；</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（7）专用仓库双人收发、双人保管制度；</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（8）相关国家标准或者国家有关规定；</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（9）企业安全检查记录；</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（10）隐患排查治理记录；</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（11）现场取证资料（图片、视频等影像资料）；</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260" w:lineRule="exact"/>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（14）其他相关证据。</w:t>
            </w:r>
          </w:p>
        </w:tc>
        <w:tc>
          <w:tcPr>
            <w:tcW w:w="38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《危险化学品安全管理条例》第八十条</w:t>
            </w:r>
            <w:r>
              <w:rPr>
                <w:rFonts w:ascii="Times New Roman" w:hAnsi="Times New Roman" w:eastAsia="仿宋_GB2312"/>
                <w:color w:val="auto"/>
                <w:kern w:val="0"/>
                <w:sz w:val="18"/>
                <w:szCs w:val="18"/>
              </w:rPr>
              <w:t xml:space="preserve">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（四）未将危险化学品储存在专用仓库内，或者未将剧毒化学品以及储存数量构成重大危险源的其他危险化学品在专用仓库内单独存放的；</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 xml:space="preserve"> (五)危险化学品的储存方式、方法或者储存数量不符合国家标准或者国家有关规定的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503"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1132"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3864" w:type="dxa"/>
            <w:vMerge w:val="continue"/>
            <w:noWrap w:val="0"/>
            <w:vAlign w:val="center"/>
          </w:tcPr>
          <w:p>
            <w:pPr>
              <w:widowControl/>
              <w:adjustRightInd w:val="0"/>
              <w:snapToGrid w:val="0"/>
              <w:spacing w:line="200" w:lineRule="exact"/>
              <w:ind w:firstLine="361" w:firstLineChars="200"/>
              <w:rPr>
                <w:rFonts w:ascii="Times New Roman" w:hAnsi="Times New Roman" w:eastAsia="仿宋_GB2312"/>
                <w:b/>
                <w:bCs/>
                <w:color w:val="auto"/>
                <w:kern w:val="0"/>
                <w:sz w:val="18"/>
                <w:szCs w:val="18"/>
              </w:rPr>
            </w:pPr>
          </w:p>
        </w:tc>
        <w:tc>
          <w:tcPr>
            <w:tcW w:w="3752" w:type="dxa"/>
            <w:vMerge w:val="continue"/>
            <w:noWrap w:val="0"/>
            <w:vAlign w:val="top"/>
          </w:tcPr>
          <w:p>
            <w:pPr>
              <w:widowControl/>
              <w:adjustRightInd w:val="0"/>
              <w:snapToGrid w:val="0"/>
              <w:spacing w:line="200" w:lineRule="exact"/>
              <w:jc w:val="left"/>
              <w:rPr>
                <w:rFonts w:ascii="Times New Roman" w:hAnsi="Times New Roman" w:eastAsia="仿宋_GB2312"/>
                <w:color w:val="auto"/>
                <w:kern w:val="0"/>
                <w:sz w:val="18"/>
                <w:szCs w:val="18"/>
              </w:rPr>
            </w:pPr>
          </w:p>
        </w:tc>
        <w:tc>
          <w:tcPr>
            <w:tcW w:w="3899" w:type="dxa"/>
            <w:vMerge w:val="continue"/>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3"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950"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32"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val="en-US" w:eastAsia="zh-CN"/>
              </w:rPr>
              <w:t>2</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特殊作业安全管理</w:t>
            </w:r>
            <w:r>
              <w:rPr>
                <w:rFonts w:hint="eastAsia" w:ascii="Times New Roman" w:hAnsi="Times New Roman" w:eastAsia="仿宋_GB2312"/>
                <w:color w:val="auto"/>
                <w:kern w:val="0"/>
                <w:sz w:val="18"/>
                <w:szCs w:val="18"/>
              </w:rPr>
              <w:t>（重大隐患）</w:t>
            </w:r>
          </w:p>
        </w:tc>
        <w:tc>
          <w:tcPr>
            <w:tcW w:w="3864" w:type="dxa"/>
            <w:noWrap w:val="0"/>
            <w:vAlign w:val="center"/>
          </w:tcPr>
          <w:p>
            <w:pPr>
              <w:widowControl/>
              <w:adjustRightInd w:val="0"/>
              <w:snapToGrid w:val="0"/>
              <w:spacing w:line="200" w:lineRule="exact"/>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《安全生产法》第</w:t>
            </w:r>
            <w:r>
              <w:rPr>
                <w:rFonts w:hint="eastAsia" w:ascii="Times New Roman" w:hAnsi="Times New Roman" w:eastAsia="仿宋_GB2312"/>
                <w:b/>
                <w:color w:val="auto"/>
                <w:kern w:val="0"/>
                <w:sz w:val="18"/>
                <w:szCs w:val="18"/>
              </w:rPr>
              <w:t xml:space="preserve">四十条 </w:t>
            </w:r>
            <w:r>
              <w:rPr>
                <w:rFonts w:hint="eastAsia" w:ascii="Times New Roman" w:hAnsi="Times New Roman" w:eastAsia="仿宋_GB2312"/>
                <w:bCs/>
                <w:color w:val="auto"/>
                <w:kern w:val="0"/>
                <w:sz w:val="18"/>
                <w:szCs w:val="18"/>
              </w:rPr>
              <w:t>生产经营单位进行爆破、吊装以及国务院安全生产监督管理部门会同国务院有关部门规定的其他危险作业，应当安排专门人员进行现场安全管理，确保操作规程的遵守和安全措施的落实。</w:t>
            </w:r>
          </w:p>
          <w:p>
            <w:pPr>
              <w:widowControl/>
              <w:adjustRightInd w:val="0"/>
              <w:snapToGrid w:val="0"/>
              <w:spacing w:line="200" w:lineRule="exact"/>
              <w:ind w:firstLine="361" w:firstLineChars="20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《化学品生产单位特殊作业安全规范》（GB30871-2014）</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5.2.1  动火作业应有专人监火,作业前应清除动火现场及周围的易燃物品,或采取其他有效安全防火措施,并配备消防器材,满足作业现场应急需求。</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5.2.2  动火点周围或其下方的地面如有可燃物、空洞、窨井、地沟、水封等,应检查分析并采取清理或封盖等措施;对于动火点周围有可能泄漏易燃、可燃物料的设备,应采取隔离措施。</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5.2.3  凡在盛有或盛装过危险化学品的设备、管道等生产、储存设施及处于GB50016、GB50160、</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GB50074规定的甲、乙类区域的生产设备上动火作业,应将其与生产系统彻底隔离,并进行清洗、置换,分析合格后方可作业;因条件限制无法进行清洗、置换而确需动火作业时按5.3规定执行。</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6.2  作业前,应根据受限空间盛装(过)的物料特性,对受限空间进行清洗或置换,并达到如下要求:</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a) 氧含量为18%～21%,在富氧环境下不应大于23.5%;</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b) 有毒气体(物质)浓度应符合GBZ2.1的规定;</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c) 可燃气体浓度要求同5.4.2规定。</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6.7  作业监护要求如下:</w:t>
            </w:r>
          </w:p>
          <w:p>
            <w:pPr>
              <w:widowControl/>
              <w:adjustRightInd w:val="0"/>
              <w:snapToGrid w:val="0"/>
              <w:spacing w:line="200" w:lineRule="exact"/>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a) 在受限空间外应设有专人监护,作业期间监护人员不应离开;</w:t>
            </w:r>
          </w:p>
          <w:p>
            <w:pPr>
              <w:widowControl/>
              <w:adjustRightInd w:val="0"/>
              <w:snapToGrid w:val="0"/>
              <w:spacing w:line="200" w:lineRule="exact"/>
              <w:ind w:firstLine="360" w:firstLineChars="200"/>
              <w:rPr>
                <w:rFonts w:ascii="Times New Roman" w:hAnsi="Times New Roman" w:eastAsia="仿宋_GB2312"/>
                <w:b/>
                <w:color w:val="auto"/>
                <w:kern w:val="0"/>
                <w:sz w:val="18"/>
                <w:szCs w:val="18"/>
              </w:rPr>
            </w:pPr>
            <w:r>
              <w:rPr>
                <w:rFonts w:hint="eastAsia" w:ascii="Times New Roman" w:hAnsi="Times New Roman" w:eastAsia="仿宋_GB2312"/>
                <w:bCs/>
                <w:color w:val="auto"/>
                <w:kern w:val="0"/>
                <w:sz w:val="18"/>
                <w:szCs w:val="18"/>
              </w:rPr>
              <w:t>b) 在风险较大的受限空间作业时,应增设监护人员,并随时与受限空间内作业人员保持联络。</w:t>
            </w:r>
          </w:p>
        </w:tc>
        <w:tc>
          <w:tcPr>
            <w:tcW w:w="3752" w:type="dxa"/>
            <w:noWrap w:val="0"/>
            <w:vAlign w:val="center"/>
          </w:tcPr>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（3）特殊作业安全管理制度（包含动火、受限空间、临时用电、动土、盲板抽堵等特殊作业）；</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（4）特殊作业操作规程；</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（5）特殊作业审批手续；</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（6）特殊作业相关的特种作业人员资格证（电工、焊工、防爆电气等）；</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（7）特殊作业专门监护人员证件（含工作经验等资料）；</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（8）进行特殊作业前的准备、分析、安全技术交底；</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（9）特殊作业专项应急安全措施（现场处置方案）；</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（10）氧浓度、易燃易爆物质（可燃气体、爆炸性粉尘）浓度、有毒有害气体浓度检测记录；</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（11）作业过程监督检查记录；</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（12）企业现场安全检查记录；</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（13）现场取证资料（图片、视频等影像资料）；</w:t>
            </w:r>
          </w:p>
          <w:p>
            <w:pPr>
              <w:widowControl/>
              <w:adjustRightInd w:val="0"/>
              <w:snapToGrid w:val="0"/>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（14）《现场检查记录》《责令限期整改指令书》等相关执法文书；</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w:t>
            </w:r>
            <w:r>
              <w:rPr>
                <w:rFonts w:ascii="Times New Roman" w:hAnsi="Times New Roman" w:eastAsia="仿宋_GB2312"/>
                <w:bCs/>
                <w:color w:val="auto"/>
                <w:sz w:val="18"/>
                <w:szCs w:val="18"/>
              </w:rPr>
              <w:t>企业相关人员任职文件、身份证明及其询问笔录；</w:t>
            </w:r>
          </w:p>
          <w:p>
            <w:pPr>
              <w:widowControl/>
              <w:spacing w:line="200" w:lineRule="exact"/>
              <w:jc w:val="both"/>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（16）其他相关证据。</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《安全生产法》第九十八条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（三）进行爆破、吊装以及国务院安全生产监督管理部门会同国务院有关部门规定的其他危险作业，未安排专门人员进行现场安全管理的；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《安全生产违法行为行政处罚办法》第四十五条</w:t>
            </w:r>
            <w:r>
              <w:rPr>
                <w:rFonts w:ascii="Times New Roman" w:hAnsi="Times New Roman" w:eastAsia="仿宋_GB2312"/>
                <w:color w:val="auto"/>
                <w:kern w:val="0"/>
                <w:sz w:val="18"/>
                <w:szCs w:val="18"/>
              </w:rPr>
              <w:t>　生产经营单位及其主要负责人或者其他人员有下列行为之一的，给予警告，并可以对生产经营单位处1万元以上3万元以下罚款，对其主要负责人、其他有关人员处1000元以上1万元以下的罚款：</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Merge w:val="restart"/>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950" w:type="dxa"/>
            <w:vMerge w:val="restart"/>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val="en-US" w:eastAsia="zh-CN"/>
              </w:rPr>
              <w:t>3</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有毒气体的区域配备便携式检测仪、空气呼吸器等器材和设备</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《安全生产法》第七十九条</w:t>
            </w:r>
            <w:r>
              <w:rPr>
                <w:rFonts w:hint="eastAsia" w:ascii="Times New Roman" w:hAnsi="Times New Roman" w:eastAsia="仿宋_GB2312"/>
                <w:b/>
                <w:color w:val="auto"/>
                <w:kern w:val="0"/>
                <w:sz w:val="18"/>
                <w:szCs w:val="18"/>
              </w:rPr>
              <w:t>第二款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《生产安全事故应急预案管理办法》第三十八条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3752" w:type="dxa"/>
            <w:noWrap w:val="0"/>
            <w:vAlign w:val="top"/>
          </w:tcPr>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（1）企业的应急预案（应急救援器材、设备和物资配备等）；</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（2）应急救援物资登记表； </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（3）便携式检测仪、空气呼吸器等应急救援物资合格证及使用说明书；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（4）应急救援物资维修保养记录、完好性检查记录；</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（5）应急救援物资出入库登记表；</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（6）便携式检测仪、空气呼吸器等器材正确使用培训及考核记录；</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noWrap w:val="0"/>
            <w:vAlign w:val="center"/>
          </w:tcPr>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《安全生产违法行为行政处罚办法》第四十六条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危险物品的生产、经营、储存单位以及矿山、金属冶炼单位有下列行为之一的，责令改正，并可以处1万元以上3万元以下的罚款：</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（二）未配备必要的应急救援器材、设备和物资，并进行经常性维护、保养，保证正常运转的。</w:t>
            </w:r>
          </w:p>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《生产安全事故应急预案管理办法》第四十五条第一款第（六）项</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p>
          <w:p>
            <w:pPr>
              <w:keepNext w:val="0"/>
              <w:keepLines w:val="0"/>
              <w:pageBreakBefore w:val="0"/>
              <w:widowControl/>
              <w:kinsoku/>
              <w:wordWrap/>
              <w:overflowPunct/>
              <w:topLinePunct w:val="0"/>
              <w:autoSpaceDE/>
              <w:autoSpaceDN/>
              <w:bidi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（六）未落实应急预案规定的应急物资及装备的。</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5"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outlineLvl w:val="9"/>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4</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4</w:t>
            </w:r>
            <w:r>
              <w:rPr>
                <w:rFonts w:ascii="Times New Roman" w:hAnsi="Times New Roman" w:eastAsia="仿宋_GB2312"/>
                <w:color w:val="auto"/>
                <w:sz w:val="18"/>
                <w:szCs w:val="18"/>
              </w:rPr>
              <w:t>在有较大危险因素的生产经营场所和有关设施、设备上未设置明显的安全警示标志的</w:t>
            </w:r>
          </w:p>
        </w:tc>
        <w:tc>
          <w:tcPr>
            <w:tcW w:w="3864" w:type="dxa"/>
            <w:noWrap w:val="0"/>
            <w:vAlign w:val="center"/>
          </w:tcPr>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color w:val="auto"/>
                <w:sz w:val="18"/>
                <w:szCs w:val="18"/>
              </w:rPr>
              <w:t>《安全生产法》第三十二条</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生产经营单位应当在有较大危险因素的生产经营场所和有关设施、设备上，设置明显的安全警示标志。</w:t>
            </w:r>
          </w:p>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b/>
                <w:color w:val="auto"/>
                <w:sz w:val="18"/>
                <w:szCs w:val="18"/>
              </w:rPr>
            </w:pPr>
            <w:r>
              <w:rPr>
                <w:rFonts w:ascii="Times New Roman" w:hAnsi="Times New Roman" w:eastAsia="仿宋_GB2312"/>
                <w:b/>
                <w:color w:val="auto"/>
                <w:sz w:val="18"/>
                <w:szCs w:val="18"/>
              </w:rPr>
              <w:t>《危险化学品安全管理条例》第二十条 第二款  生产、储存危险化学品的单位，应当在其作业场所和安全设施、设备上设置明显的安全警示标志。</w:t>
            </w:r>
          </w:p>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b/>
                <w:color w:val="auto"/>
                <w:sz w:val="18"/>
                <w:szCs w:val="18"/>
              </w:rPr>
            </w:pPr>
            <w:r>
              <w:rPr>
                <w:rFonts w:ascii="Times New Roman" w:hAnsi="Times New Roman" w:eastAsia="仿宋_GB2312"/>
                <w:b/>
                <w:color w:val="auto"/>
                <w:sz w:val="18"/>
                <w:szCs w:val="18"/>
              </w:rPr>
              <w:t>《化学品作业场所安全警示标志规范》（AQ 3047—2013）</w:t>
            </w:r>
          </w:p>
          <w:p>
            <w:pPr>
              <w:keepNext w:val="0"/>
              <w:keepLines w:val="0"/>
              <w:pageBreakBefore w:val="0"/>
              <w:widowControl/>
              <w:kinsoku/>
              <w:wordWrap/>
              <w:overflowPunct/>
              <w:topLinePunct w:val="0"/>
              <w:autoSpaceDE/>
              <w:autoSpaceDN/>
              <w:bidi w:val="0"/>
              <w:spacing w:line="240" w:lineRule="exact"/>
              <w:ind w:firstLine="360" w:firstLineChars="200"/>
              <w:textAlignment w:val="auto"/>
              <w:outlineLvl w:val="9"/>
              <w:rPr>
                <w:rFonts w:ascii="Times New Roman" w:hAnsi="Times New Roman" w:eastAsia="仿宋_GB2312"/>
                <w:color w:val="auto"/>
                <w:sz w:val="18"/>
                <w:szCs w:val="18"/>
              </w:rPr>
            </w:pPr>
          </w:p>
        </w:tc>
        <w:tc>
          <w:tcPr>
            <w:tcW w:w="3752" w:type="dxa"/>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（3）危险有害因素和风险辨识资料；</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（4）具有较大危险因素的场所和设备设施登记表（台账）；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（5）安全警示标志设置登记表（台账）；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（9）其他相关证据。</w:t>
            </w:r>
          </w:p>
        </w:tc>
        <w:tc>
          <w:tcPr>
            <w:tcW w:w="3899" w:type="dxa"/>
            <w:noWrap w:val="0"/>
            <w:vAlign w:val="center"/>
          </w:tcPr>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第七十八条</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kinsoku/>
              <w:wordWrap/>
              <w:overflowPunct/>
              <w:topLinePunct w:val="0"/>
              <w:autoSpaceDE/>
              <w:autoSpaceDN/>
              <w:bidi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（八）生产、储存危险化学品的单位未在作业场所和安全设施、设备上设置明显的安全警示标志，或者未在作业场所设置通信、报警装置的；</w:t>
            </w:r>
            <w:r>
              <w:rPr>
                <w:rFonts w:hint="eastAsia" w:ascii="Times New Roman" w:hAnsi="Times New Roman" w:eastAsia="仿宋_GB2312"/>
                <w:color w:val="auto"/>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6"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950"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32" w:type="dxa"/>
            <w:noWrap w:val="0"/>
            <w:vAlign w:val="center"/>
          </w:tcPr>
          <w:p>
            <w:pPr>
              <w:keepNext w:val="0"/>
              <w:keepLines w:val="0"/>
              <w:pageBreakBefore w:val="0"/>
              <w:kinsoku/>
              <w:wordWrap/>
              <w:overflowPunct/>
              <w:topLinePunct w:val="0"/>
              <w:autoSpaceDE/>
              <w:autoSpaceDN/>
              <w:bidi w:val="0"/>
              <w:adjustRightInd w:val="0"/>
              <w:snapToGrid w:val="0"/>
              <w:spacing w:line="220" w:lineRule="exact"/>
              <w:jc w:val="left"/>
              <w:textAlignment w:val="auto"/>
              <w:outlineLvl w:val="9"/>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4</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5</w:t>
            </w:r>
            <w:r>
              <w:rPr>
                <w:rFonts w:ascii="Times New Roman" w:hAnsi="Times New Roman" w:eastAsia="仿宋_GB2312"/>
                <w:color w:val="auto"/>
                <w:sz w:val="18"/>
                <w:szCs w:val="18"/>
              </w:rPr>
              <w:t>企业安全评价实施情况</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《安全生产法》第二十九条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矿山、金属冶炼建设项目和用于生产、储存、装卸危险物品的建设项目，应当按照国家有关规定进行安全评价。</w:t>
            </w:r>
          </w:p>
          <w:p>
            <w:pPr>
              <w:keepNext w:val="0"/>
              <w:keepLines w:val="0"/>
              <w:pageBreakBefore w:val="0"/>
              <w:kinsoku/>
              <w:wordWrap/>
              <w:overflowPunct/>
              <w:topLinePunct w:val="0"/>
              <w:autoSpaceDE/>
              <w:autoSpaceDN/>
              <w:bidi w:val="0"/>
              <w:spacing w:line="22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color w:val="auto"/>
                <w:sz w:val="18"/>
                <w:szCs w:val="18"/>
              </w:rPr>
              <w:t>《危险化学品安全管理条例》第二十二条</w:t>
            </w:r>
            <w:r>
              <w:rPr>
                <w:rFonts w:hint="eastAsia" w:ascii="Times New Roman" w:hAnsi="Times New Roman" w:eastAsia="仿宋_GB2312"/>
                <w:b/>
                <w:color w:val="auto"/>
                <w:sz w:val="18"/>
                <w:szCs w:val="18"/>
              </w:rPr>
              <w:t xml:space="preserve">第一款  </w:t>
            </w:r>
            <w:r>
              <w:rPr>
                <w:rFonts w:ascii="Times New Roman" w:hAnsi="Times New Roman" w:eastAsia="仿宋_GB2312"/>
                <w:color w:val="auto"/>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kinsoku/>
              <w:wordWrap/>
              <w:overflowPunct/>
              <w:topLinePunct w:val="0"/>
              <w:autoSpaceDE/>
              <w:autoSpaceDN/>
              <w:bidi w:val="0"/>
              <w:spacing w:line="220" w:lineRule="exact"/>
              <w:ind w:firstLine="361" w:firstLineChars="200"/>
              <w:textAlignment w:val="auto"/>
              <w:outlineLvl w:val="9"/>
              <w:rPr>
                <w:rFonts w:ascii="Times New Roman" w:hAnsi="Times New Roman" w:eastAsia="仿宋_GB2312"/>
                <w:b/>
                <w:bCs/>
                <w:color w:val="auto"/>
                <w:sz w:val="18"/>
                <w:szCs w:val="18"/>
              </w:rPr>
            </w:pPr>
            <w:r>
              <w:rPr>
                <w:rFonts w:ascii="Times New Roman" w:hAnsi="Times New Roman" w:eastAsia="仿宋_GB2312"/>
                <w:b/>
                <w:bCs/>
                <w:color w:val="auto"/>
                <w:sz w:val="18"/>
                <w:szCs w:val="18"/>
              </w:rPr>
              <w:t>《危险化学品生产</w:t>
            </w:r>
            <w:r>
              <w:rPr>
                <w:rFonts w:hint="eastAsia" w:ascii="Times New Roman" w:hAnsi="Times New Roman" w:eastAsia="仿宋_GB2312"/>
                <w:b/>
                <w:bCs/>
                <w:color w:val="auto"/>
                <w:sz w:val="18"/>
                <w:szCs w:val="18"/>
              </w:rPr>
              <w:t>、</w:t>
            </w:r>
            <w:r>
              <w:rPr>
                <w:rFonts w:ascii="Times New Roman" w:hAnsi="Times New Roman" w:eastAsia="仿宋_GB2312"/>
                <w:b/>
                <w:bCs/>
                <w:color w:val="auto"/>
                <w:sz w:val="18"/>
                <w:szCs w:val="18"/>
              </w:rPr>
              <w:t>储存装置个人可接受风险标准和社会可接受风险标准（试行）》（国家安全生产监</w:t>
            </w:r>
            <w:r>
              <w:rPr>
                <w:rFonts w:hint="eastAsia" w:ascii="Times New Roman" w:hAnsi="Times New Roman" w:eastAsia="仿宋_GB2312"/>
                <w:b/>
                <w:bCs/>
                <w:color w:val="auto"/>
                <w:sz w:val="18"/>
                <w:szCs w:val="18"/>
              </w:rPr>
              <w:t>督</w:t>
            </w:r>
            <w:r>
              <w:rPr>
                <w:rFonts w:ascii="Times New Roman" w:hAnsi="Times New Roman" w:eastAsia="仿宋_GB2312"/>
                <w:b/>
                <w:bCs/>
                <w:color w:val="auto"/>
                <w:sz w:val="18"/>
                <w:szCs w:val="18"/>
              </w:rPr>
              <w:t>管</w:t>
            </w:r>
            <w:r>
              <w:rPr>
                <w:rFonts w:hint="eastAsia" w:ascii="Times New Roman" w:hAnsi="Times New Roman" w:eastAsia="仿宋_GB2312"/>
                <w:b/>
                <w:bCs/>
                <w:color w:val="auto"/>
                <w:sz w:val="18"/>
                <w:szCs w:val="18"/>
              </w:rPr>
              <w:t>理</w:t>
            </w:r>
            <w:r>
              <w:rPr>
                <w:rFonts w:ascii="Times New Roman" w:hAnsi="Times New Roman" w:eastAsia="仿宋_GB2312"/>
                <w:b/>
                <w:bCs/>
                <w:color w:val="auto"/>
                <w:sz w:val="18"/>
                <w:szCs w:val="18"/>
              </w:rPr>
              <w:t>总局公告2014年第13号）</w:t>
            </w:r>
          </w:p>
          <w:p>
            <w:pPr>
              <w:keepNext w:val="0"/>
              <w:keepLines w:val="0"/>
              <w:pageBreakBefore w:val="0"/>
              <w:kinsoku/>
              <w:wordWrap/>
              <w:overflowPunct/>
              <w:topLinePunct w:val="0"/>
              <w:autoSpaceDE/>
              <w:autoSpaceDN/>
              <w:bidi w:val="0"/>
              <w:spacing w:line="22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bCs/>
                <w:color w:val="auto"/>
                <w:sz w:val="18"/>
                <w:szCs w:val="18"/>
              </w:rPr>
              <w:t>《危险化学品生产装置和储存设施外部安全防护距离确定方法》（GB/T37243-2019）</w:t>
            </w:r>
          </w:p>
        </w:tc>
        <w:tc>
          <w:tcPr>
            <w:tcW w:w="3752" w:type="dxa"/>
            <w:noWrap w:val="0"/>
            <w:vAlign w:val="center"/>
          </w:tcPr>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（3）企业最新《安全评价报告》；</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（4）现场取证资料（图片、视频等影像资料）；</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（5）《现场检查记录》《责令限期整改指令书》等相关执法文书；</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（7）其他相关证据。</w:t>
            </w:r>
          </w:p>
        </w:tc>
        <w:tc>
          <w:tcPr>
            <w:tcW w:w="3899" w:type="dxa"/>
            <w:noWrap w:val="0"/>
            <w:vAlign w:val="center"/>
          </w:tcPr>
          <w:p>
            <w:pPr>
              <w:keepNext w:val="0"/>
              <w:keepLines w:val="0"/>
              <w:pageBreakBefore w:val="0"/>
              <w:widowControl/>
              <w:kinsoku/>
              <w:wordWrap/>
              <w:overflowPunct/>
              <w:topLinePunct w:val="0"/>
              <w:autoSpaceDE/>
              <w:autoSpaceDN/>
              <w:bidi w:val="0"/>
              <w:spacing w:line="220" w:lineRule="exact"/>
              <w:ind w:firstLine="361" w:firstLineChars="200"/>
              <w:textAlignment w:val="auto"/>
              <w:outlineLvl w:val="9"/>
              <w:rPr>
                <w:rFonts w:ascii="Times New Roman" w:hAnsi="Times New Roman" w:eastAsia="仿宋_GB2312"/>
                <w:color w:val="auto"/>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b/>
                <w:color w:val="auto"/>
                <w:sz w:val="18"/>
                <w:szCs w:val="18"/>
              </w:rPr>
              <w:t>第九十五条 </w:t>
            </w:r>
            <w:r>
              <w:rPr>
                <w:rFonts w:ascii="Times New Roman" w:hAnsi="Times New Roman" w:eastAsia="仿宋_GB2312"/>
                <w:color w:val="auto"/>
                <w:sz w:val="18"/>
                <w:szCs w:val="1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一）未按照规定对矿山、金属冶炼建设项目或者用于生产、储存、装卸危险物品的建设项目进行安全评价的；</w:t>
            </w:r>
            <w:r>
              <w:rPr>
                <w:rFonts w:hint="eastAsia" w:ascii="Times New Roman" w:hAnsi="Times New Roman" w:eastAsia="仿宋_GB2312"/>
                <w:color w:val="auto"/>
                <w:sz w:val="18"/>
                <w:szCs w:val="18"/>
              </w:rPr>
              <w:t>......</w:t>
            </w:r>
          </w:p>
          <w:p>
            <w:pPr>
              <w:keepNext w:val="0"/>
              <w:keepLines w:val="0"/>
              <w:pageBreakBefore w:val="0"/>
              <w:widowControl/>
              <w:kinsoku/>
              <w:wordWrap/>
              <w:overflowPunct/>
              <w:topLinePunct w:val="0"/>
              <w:autoSpaceDE/>
              <w:autoSpaceDN/>
              <w:bidi w:val="0"/>
              <w:spacing w:line="220" w:lineRule="exact"/>
              <w:ind w:firstLine="361" w:firstLineChars="200"/>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第八十条</w:t>
            </w:r>
            <w:r>
              <w:rPr>
                <w:rFonts w:hint="eastAsia" w:ascii="Times New Roman" w:hAnsi="Times New Roman" w:eastAsia="仿宋_GB2312"/>
                <w:b/>
                <w:color w:val="auto"/>
                <w:kern w:val="0"/>
                <w:sz w:val="18"/>
                <w:szCs w:val="18"/>
              </w:rPr>
              <w:t xml:space="preserve">  </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（三）未依照本条例规定对其安全生产条件定期进行安全评价的；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047" w:hRule="atLeast"/>
          <w:jc w:val="center"/>
        </w:trPr>
        <w:tc>
          <w:tcPr>
            <w:tcW w:w="617" w:type="dxa"/>
            <w:noWrap w:val="0"/>
            <w:vAlign w:val="center"/>
          </w:tcPr>
          <w:p>
            <w:pPr>
              <w:spacing w:line="200" w:lineRule="exact"/>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5</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危险化学品建设项目安全设施“三同时”</w:t>
            </w: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危险化学品建设项目安全条件审查</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第十二条</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新建、改建、扩建生产、储存危险化学品的建设项目（以下简称建设项目），应当由安全生产监督管理部门进行安全条件审查。</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建设单位应当在建设项目开始初步设计前，向与本办法第四条、第五条规定相应的安全生产监督管理部门申请建设项目安全条件审查，提交下列文件、资料，并对其真实性负责：</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（一）建设项目安全条件审查申请书及文件；</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（二）建设项目安全评价报告；</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（三）建设项目批准、核准或者备案文件和规划相关文件（复制件）；</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（四）工商行政管理部门颁发的企业营业执照或者企业名称预先核准通知书（复制件）。</w:t>
            </w:r>
          </w:p>
        </w:tc>
        <w:tc>
          <w:tcPr>
            <w:tcW w:w="3752" w:type="dxa"/>
            <w:noWrap w:val="0"/>
            <w:vAlign w:val="center"/>
          </w:tcPr>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（3）建设项目《安全评价报告》；</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（4）建设项目批准、核准或者备案文件和规划相关文件；</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（5）建设项目安全条件审查机关查询审查情况及资料（申请资料、安全评价报告、审查意见书等）；</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《危险化学品建设项目安全监督管理办法》第三十五条</w:t>
            </w:r>
            <w:r>
              <w:rPr>
                <w:rFonts w:ascii="Times New Roman" w:hAnsi="Times New Roman" w:eastAsia="仿宋_GB2312"/>
                <w:color w:val="auto"/>
                <w:kern w:val="0"/>
                <w:sz w:val="18"/>
                <w:szCs w:val="18"/>
              </w:rPr>
              <w:t> 未经安全条件审查或者安全条件审查未通过，新建、改建、扩建生产、储存危险化学品的建设项目的，责令停止建设，限期改正；逾期不改正的，处五十万元以上一百万元以下的罚款；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  建设项目发生本办法第十四条规定的变化后，未重新申请安全条件审查，以及审查未通过擅自建设的，依照前款规定处罚。</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168" w:hRule="atLeast"/>
          <w:jc w:val="center"/>
        </w:trPr>
        <w:tc>
          <w:tcPr>
            <w:tcW w:w="617" w:type="dxa"/>
            <w:vMerge w:val="restart"/>
            <w:noWrap w:val="0"/>
            <w:vAlign w:val="center"/>
          </w:tcPr>
          <w:p>
            <w:pPr>
              <w:spacing w:line="200" w:lineRule="exact"/>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950" w:type="dxa"/>
            <w:vMerge w:val="restart"/>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危险化学品建设项目安全设施“三同时”</w:t>
            </w: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危险化学品建设项目安全设施设计审查</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《安全生产法》第三十条 </w:t>
            </w:r>
            <w:r>
              <w:rPr>
                <w:rFonts w:ascii="Times New Roman" w:hAnsi="Times New Roman" w:eastAsia="仿宋_GB2312"/>
                <w:color w:val="auto"/>
                <w:kern w:val="0"/>
                <w:sz w:val="18"/>
                <w:szCs w:val="18"/>
              </w:rPr>
              <w:t xml:space="preserve"> 建设项目安全设施的设计人、设计单位应当对安全设施设计负责。</w:t>
            </w:r>
          </w:p>
          <w:p>
            <w:pPr>
              <w:keepNext w:val="0"/>
              <w:keepLines w:val="0"/>
              <w:pageBreakBefore w:val="0"/>
              <w:widowControl/>
              <w:kinsoku/>
              <w:wordWrap/>
              <w:overflowPunct/>
              <w:topLinePunct w:val="0"/>
              <w:autoSpaceDE/>
              <w:autoSpaceDN/>
              <w:bidi w:val="0"/>
              <w:adjustRightInd w:val="0"/>
              <w:snapToGrid w:val="0"/>
              <w:spacing w:line="220" w:lineRule="exact"/>
              <w:ind w:firstLine="42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kinsoku/>
              <w:wordWrap/>
              <w:overflowPunct/>
              <w:topLinePunct w:val="0"/>
              <w:autoSpaceDE/>
              <w:autoSpaceDN/>
              <w:bidi w:val="0"/>
              <w:adjustRightInd w:val="0"/>
              <w:snapToGrid w:val="0"/>
              <w:spacing w:line="220" w:lineRule="exact"/>
              <w:ind w:firstLine="42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《危险化学品建设项目安全监督管理办法》第十六条</w:t>
            </w:r>
            <w:r>
              <w:rPr>
                <w:rFonts w:ascii="Times New Roman" w:hAnsi="Times New Roman" w:eastAsia="仿宋_GB2312"/>
                <w:color w:val="auto"/>
                <w:kern w:val="0"/>
                <w:sz w:val="18"/>
                <w:szCs w:val="18"/>
              </w:rPr>
              <w:t> 建设单位应当在建设项目初步设计完成后、详细设计开始前，向出具建设项目安全条件审查意见书的安全生产监督管理部门申请建设项目安全设施设计审查，提交下列文件、资料，并对其真实性负责：</w:t>
            </w:r>
          </w:p>
          <w:p>
            <w:pPr>
              <w:keepNext w:val="0"/>
              <w:keepLines w:val="0"/>
              <w:pageBreakBefore w:val="0"/>
              <w:widowControl/>
              <w:kinsoku/>
              <w:wordWrap/>
              <w:overflowPunct/>
              <w:topLinePunct w:val="0"/>
              <w:autoSpaceDE/>
              <w:autoSpaceDN/>
              <w:bidi w:val="0"/>
              <w:adjustRightInd w:val="0"/>
              <w:snapToGrid w:val="0"/>
              <w:spacing w:line="220" w:lineRule="exact"/>
              <w:ind w:firstLine="42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（一）建设项目安全设施设计审查申请书及文件；</w:t>
            </w:r>
          </w:p>
          <w:p>
            <w:pPr>
              <w:keepNext w:val="0"/>
              <w:keepLines w:val="0"/>
              <w:pageBreakBefore w:val="0"/>
              <w:widowControl/>
              <w:kinsoku/>
              <w:wordWrap/>
              <w:overflowPunct/>
              <w:topLinePunct w:val="0"/>
              <w:autoSpaceDE/>
              <w:autoSpaceDN/>
              <w:bidi w:val="0"/>
              <w:adjustRightInd w:val="0"/>
              <w:snapToGrid w:val="0"/>
              <w:spacing w:line="220" w:lineRule="exact"/>
              <w:ind w:firstLine="42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（二）设计单位的设计资质证明文件（复制件）；</w:t>
            </w:r>
          </w:p>
          <w:p>
            <w:pPr>
              <w:keepNext w:val="0"/>
              <w:keepLines w:val="0"/>
              <w:pageBreakBefore w:val="0"/>
              <w:widowControl/>
              <w:kinsoku/>
              <w:wordWrap/>
              <w:overflowPunct/>
              <w:topLinePunct w:val="0"/>
              <w:autoSpaceDE/>
              <w:autoSpaceDN/>
              <w:bidi w:val="0"/>
              <w:adjustRightInd w:val="0"/>
              <w:snapToGrid w:val="0"/>
              <w:spacing w:line="220" w:lineRule="exact"/>
              <w:ind w:firstLine="42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（三）建设项目安全设施设计专篇。</w:t>
            </w:r>
          </w:p>
        </w:tc>
        <w:tc>
          <w:tcPr>
            <w:tcW w:w="3752" w:type="dxa"/>
            <w:noWrap w:val="0"/>
            <w:vAlign w:val="center"/>
          </w:tcPr>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《安全生产法》第九十五条</w:t>
            </w:r>
            <w:r>
              <w:rPr>
                <w:rFonts w:ascii="Times New Roman" w:hAnsi="Times New Roman" w:eastAsia="仿宋_GB2312"/>
                <w:color w:val="auto"/>
                <w:kern w:val="0"/>
                <w:sz w:val="18"/>
                <w:szCs w:val="18"/>
              </w:rPr>
              <w:t xml:space="preserve">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（二）矿</w:t>
            </w:r>
            <w:r>
              <w:rPr>
                <w:rFonts w:ascii="Times New Roman" w:hAnsi="Times New Roman" w:eastAsia="仿宋_GB2312"/>
                <w:color w:val="auto"/>
                <w:kern w:val="0"/>
                <w:sz w:val="18"/>
                <w:szCs w:val="18"/>
              </w:rPr>
              <w:t>山、金属冶炼建设项目或者用于生产、储存、装卸危险物品的建设项目没有安全设施设计或者安全设施设计未按照规定报经有关部门审查同意的；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 建设单位有下列行为之一的，依照《</w:t>
            </w:r>
            <w:r>
              <w:rPr>
                <w:rFonts w:hint="eastAsia" w:ascii="Times New Roman" w:hAnsi="Times New Roman" w:eastAsia="仿宋_GB2312"/>
                <w:color w:val="auto"/>
                <w:kern w:val="0"/>
                <w:sz w:val="18"/>
                <w:szCs w:val="18"/>
              </w:rPr>
              <w:t>安全生产法</w:t>
            </w:r>
            <w:r>
              <w:rPr>
                <w:rFonts w:ascii="Times New Roman" w:hAnsi="Times New Roman" w:eastAsia="仿宋_GB2312"/>
                <w:color w:val="auto"/>
                <w:kern w:val="0"/>
                <w:sz w:val="18"/>
                <w:szCs w:val="18"/>
              </w:rPr>
              <w:t>》有关建设项目安全设施设计审查、竣工验收的法律责任条款给予处罚：</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（一）建设项目安全设施设计未经审查或者审查未通过，擅自建设的；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155" w:hRule="atLeast"/>
          <w:jc w:val="center"/>
        </w:trPr>
        <w:tc>
          <w:tcPr>
            <w:tcW w:w="617" w:type="dxa"/>
            <w:vMerge w:val="continue"/>
            <w:noWrap w:val="0"/>
            <w:vAlign w:val="center"/>
          </w:tcPr>
          <w:p>
            <w:pPr>
              <w:spacing w:line="200" w:lineRule="exact"/>
              <w:jc w:val="center"/>
              <w:rPr>
                <w:rFonts w:ascii="Times New Roman" w:hAnsi="Times New Roman" w:eastAsia="仿宋_GB2312"/>
                <w:color w:val="auto"/>
                <w:sz w:val="18"/>
                <w:szCs w:val="18"/>
              </w:rPr>
            </w:pPr>
          </w:p>
        </w:tc>
        <w:tc>
          <w:tcPr>
            <w:tcW w:w="950" w:type="dxa"/>
            <w:vMerge w:val="continue"/>
            <w:noWrap w:val="0"/>
            <w:vAlign w:val="center"/>
          </w:tcPr>
          <w:p>
            <w:pPr>
              <w:widowControl/>
              <w:adjustRightInd w:val="0"/>
              <w:snapToGrid w:val="0"/>
              <w:spacing w:line="200" w:lineRule="exact"/>
              <w:rPr>
                <w:rFonts w:ascii="Times New Roman" w:hAnsi="Times New Roman" w:eastAsia="仿宋_GB2312"/>
                <w:color w:val="auto"/>
                <w:kern w:val="0"/>
                <w:sz w:val="18"/>
                <w:szCs w:val="18"/>
              </w:rPr>
            </w:pPr>
          </w:p>
        </w:tc>
        <w:tc>
          <w:tcPr>
            <w:tcW w:w="1132"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危险化学品建设项目安全设施变更设计审查</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《危险化学品建设项目安全监督管理办法》第二十条 </w:t>
            </w:r>
            <w:r>
              <w:rPr>
                <w:rFonts w:ascii="Times New Roman" w:hAnsi="Times New Roman" w:eastAsia="仿宋_GB2312"/>
                <w:color w:val="auto"/>
                <w:kern w:val="0"/>
                <w:sz w:val="18"/>
                <w:szCs w:val="18"/>
              </w:rPr>
              <w:t>已经审查通过的建设项目安全设施设计有下列情形之一的，建设单位应当向原审查部门申请建设项目安全设施变更设计的审查：</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（一）改变安全设施设计且可能降低安全性能的；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（二）在施工期间重新设计的。</w:t>
            </w:r>
          </w:p>
        </w:tc>
        <w:tc>
          <w:tcPr>
            <w:tcW w:w="3752" w:type="dxa"/>
            <w:noWrap w:val="0"/>
            <w:vAlign w:val="center"/>
          </w:tcPr>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keepNext w:val="0"/>
              <w:keepLines w:val="0"/>
              <w:pageBreakBefore w:val="0"/>
              <w:widowControl/>
              <w:kinsoku/>
              <w:wordWrap/>
              <w:overflowPunct/>
              <w:topLinePunct w:val="0"/>
              <w:autoSpaceDE/>
              <w:autoSpaceDN/>
              <w:bidi w:val="0"/>
              <w:spacing w:line="22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20" w:lineRule="exact"/>
              <w:textAlignment w:val="auto"/>
              <w:outlineLvl w:val="9"/>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 建设单位有下列行为之一的，依照《</w:t>
            </w:r>
            <w:r>
              <w:rPr>
                <w:rFonts w:hint="eastAsia" w:ascii="Times New Roman" w:hAnsi="Times New Roman" w:eastAsia="仿宋_GB2312"/>
                <w:color w:val="auto"/>
                <w:kern w:val="0"/>
                <w:sz w:val="18"/>
                <w:szCs w:val="18"/>
              </w:rPr>
              <w:t>安全生产法</w:t>
            </w:r>
            <w:r>
              <w:rPr>
                <w:rFonts w:ascii="Times New Roman" w:hAnsi="Times New Roman" w:eastAsia="仿宋_GB2312"/>
                <w:color w:val="auto"/>
                <w:kern w:val="0"/>
                <w:sz w:val="18"/>
                <w:szCs w:val="18"/>
              </w:rPr>
              <w:t>》有关建设项目安全设施设计审查、竣工验收的法律责任条款给予处罚：</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（二）建设项目安全设施设计发生本办法第二十条规定的情形之一，未经变更设计审查或者变更设计审查未通过，擅自建设的；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《安全生产法》第九十五条</w:t>
            </w:r>
            <w:r>
              <w:rPr>
                <w:rFonts w:ascii="Times New Roman" w:hAnsi="Times New Roman" w:eastAsia="仿宋_GB2312"/>
                <w:color w:val="auto"/>
                <w:kern w:val="0"/>
                <w:sz w:val="18"/>
                <w:szCs w:val="18"/>
              </w:rPr>
              <w:t xml:space="preserve">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7" w:hRule="atLeast"/>
          <w:jc w:val="center"/>
        </w:trPr>
        <w:tc>
          <w:tcPr>
            <w:tcW w:w="617" w:type="dxa"/>
            <w:noWrap w:val="0"/>
            <w:vAlign w:val="center"/>
          </w:tcPr>
          <w:p>
            <w:pPr>
              <w:spacing w:line="200" w:lineRule="exact"/>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危险化学品建设项目安全设施“三同时”</w:t>
            </w:r>
          </w:p>
        </w:tc>
        <w:tc>
          <w:tcPr>
            <w:tcW w:w="113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危险化学品建设项目安全设施按照批准的设计施工</w:t>
            </w:r>
          </w:p>
        </w:tc>
        <w:tc>
          <w:tcPr>
            <w:tcW w:w="3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《安全生产法》第三十一条第一款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矿山、金属冶炼建设项目和用于生产、储存、装卸危险物品的建设项目的施工单位必须按照批准的安全设施设计施工，并对安全设施的工程质量负责。   </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p>
        </w:tc>
        <w:tc>
          <w:tcPr>
            <w:tcW w:w="3752" w:type="dxa"/>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keepNext w:val="0"/>
              <w:keepLines w:val="0"/>
              <w:pageBreakBefore w:val="0"/>
              <w:widowControl/>
              <w:kinsoku/>
              <w:wordWrap/>
              <w:overflowPunct/>
              <w:topLinePunct w:val="0"/>
              <w:autoSpaceDE/>
              <w:autoSpaceDN/>
              <w:bidi w:val="0"/>
              <w:spacing w:line="240" w:lineRule="exact"/>
              <w:jc w:val="lef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（5）建设项目的施工单位资质、证照等资料；</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keepNext w:val="0"/>
              <w:keepLines w:val="0"/>
              <w:pageBreakBefore w:val="0"/>
              <w:widowControl/>
              <w:kinsoku/>
              <w:wordWrap/>
              <w:overflowPunct/>
              <w:topLinePunct w:val="0"/>
              <w:autoSpaceDE/>
              <w:autoSpaceDN/>
              <w:bidi w:val="0"/>
              <w:spacing w:line="240" w:lineRule="exact"/>
              <w:textAlignment w:val="auto"/>
              <w:outlineLvl w:val="9"/>
              <w:rPr>
                <w:rFonts w:ascii="Times New Roman" w:hAnsi="Times New Roman" w:eastAsia="仿宋_GB2312"/>
                <w:color w:val="auto"/>
                <w:sz w:val="18"/>
                <w:szCs w:val="18"/>
              </w:rPr>
            </w:pPr>
            <w:r>
              <w:rPr>
                <w:rFonts w:ascii="Times New Roman" w:hAnsi="Times New Roman" w:eastAsia="仿宋_GB2312"/>
                <w:color w:val="auto"/>
                <w:kern w:val="0"/>
                <w:sz w:val="18"/>
                <w:szCs w:val="18"/>
              </w:rPr>
              <w:t>（9）其他相关证据。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《安全生产法》第九十五条</w:t>
            </w:r>
            <w:r>
              <w:rPr>
                <w:rFonts w:ascii="Times New Roman" w:hAnsi="Times New Roman" w:eastAsia="仿宋_GB2312"/>
                <w:color w:val="auto"/>
                <w:kern w:val="0"/>
                <w:sz w:val="18"/>
                <w:szCs w:val="18"/>
              </w:rPr>
              <w:t xml:space="preserve">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（三）</w:t>
            </w:r>
            <w:r>
              <w:rPr>
                <w:rFonts w:ascii="Times New Roman" w:hAnsi="Times New Roman" w:eastAsia="仿宋_GB2312"/>
                <w:color w:val="auto"/>
                <w:kern w:val="0"/>
                <w:sz w:val="18"/>
                <w:szCs w:val="18"/>
              </w:rPr>
              <w:t>矿山、金属冶炼建设项目或者用于生产、储存、装卸危险物品的建设项目的施工单位未按照批准的安全设施设计施工的；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 建设单位有下列行为之一的，依照《</w:t>
            </w:r>
            <w:r>
              <w:rPr>
                <w:rFonts w:hint="eastAsia" w:ascii="Times New Roman" w:hAnsi="Times New Roman" w:eastAsia="仿宋_GB2312"/>
                <w:color w:val="auto"/>
                <w:kern w:val="0"/>
                <w:sz w:val="18"/>
                <w:szCs w:val="18"/>
              </w:rPr>
              <w:t>安全生产法</w:t>
            </w:r>
            <w:r>
              <w:rPr>
                <w:rFonts w:ascii="Times New Roman" w:hAnsi="Times New Roman" w:eastAsia="仿宋_GB2312"/>
                <w:color w:val="auto"/>
                <w:kern w:val="0"/>
                <w:sz w:val="18"/>
                <w:szCs w:val="18"/>
              </w:rPr>
              <w:t>》有关建设项目安全设施设计审查、竣工验收的法律责任条款给予处罚：</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（三）建设项目的施工单位未根据批准的安全设施设计施工的；</w:t>
            </w:r>
            <w:r>
              <w:rPr>
                <w:rFonts w:hint="eastAsia" w:ascii="Times New Roman" w:hAnsi="Times New Roman" w:eastAsia="仿宋_GB2312"/>
                <w:color w:val="auto"/>
                <w:kern w:val="0"/>
                <w:sz w:val="18"/>
                <w:szCs w:val="18"/>
              </w:rPr>
              <w:t>......</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6" w:hRule="atLeast"/>
          <w:jc w:val="center"/>
        </w:trPr>
        <w:tc>
          <w:tcPr>
            <w:tcW w:w="15165" w:type="dxa"/>
            <w:gridSpan w:val="7"/>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  证照及资料有正副本的，均核验留存复印件。</w:t>
            </w:r>
          </w:p>
          <w:p>
            <w:pPr>
              <w:keepNext w:val="0"/>
              <w:keepLines w:val="0"/>
              <w:pageBreakBefore w:val="0"/>
              <w:widowControl/>
              <w:kinsoku/>
              <w:wordWrap/>
              <w:overflowPunct/>
              <w:topLinePunct w:val="0"/>
              <w:autoSpaceDE/>
              <w:autoSpaceDN/>
              <w:bidi w:val="0"/>
              <w:adjustRightInd w:val="0"/>
              <w:snapToGrid w:val="0"/>
              <w:spacing w:line="240" w:lineRule="exact"/>
              <w:ind w:firstLine="900" w:firstLineChars="5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r>
              <w:rPr>
                <w:rFonts w:ascii="Times New Roman" w:hAnsi="Times New Roman" w:eastAsia="仿宋_GB2312"/>
                <w:color w:val="auto"/>
                <w:kern w:val="0"/>
                <w:sz w:val="18"/>
                <w:szCs w:val="18"/>
              </w:rPr>
              <w:tab/>
            </w:r>
          </w:p>
        </w:tc>
      </w:tr>
    </w:tbl>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outlineLvl w:val="0"/>
        <w:rPr>
          <w:rFonts w:hint="eastAsia" w:ascii="仿宋_GB2312" w:hAnsi="仿宋_GB2312" w:eastAsia="仿宋_GB2312" w:cs="仿宋_GB2312"/>
          <w:color w:val="auto"/>
          <w:sz w:val="30"/>
          <w:szCs w:val="30"/>
          <w:lang w:eastAsia="zh-CN"/>
        </w:rPr>
      </w:pPr>
      <w:bookmarkStart w:id="0" w:name="_Toc69374605"/>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outlineLvl w:val="0"/>
        <w:rPr>
          <w:rFonts w:hint="eastAsia" w:ascii="仿宋_GB2312" w:hAnsi="仿宋_GB2312" w:eastAsia="仿宋_GB2312" w:cs="仿宋_GB2312"/>
          <w:color w:val="auto"/>
          <w:sz w:val="30"/>
          <w:szCs w:val="30"/>
          <w:lang w:eastAsia="zh-CN"/>
        </w:rPr>
      </w:pPr>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outlineLvl w:val="0"/>
        <w:rPr>
          <w:rFonts w:hint="eastAsia" w:ascii="仿宋_GB2312" w:hAnsi="仿宋_GB2312" w:eastAsia="仿宋_GB2312" w:cs="仿宋_GB2312"/>
          <w:color w:val="auto"/>
          <w:sz w:val="30"/>
          <w:szCs w:val="30"/>
          <w:lang w:eastAsia="zh-CN"/>
        </w:rPr>
      </w:pPr>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outlineLvl w:val="0"/>
        <w:rPr>
          <w:rFonts w:hint="eastAsia" w:ascii="仿宋_GB2312" w:hAnsi="仿宋_GB2312" w:eastAsia="仿宋_GB2312" w:cs="仿宋_GB2312"/>
          <w:color w:val="auto"/>
          <w:sz w:val="30"/>
          <w:szCs w:val="30"/>
          <w:lang w:eastAsia="zh-CN"/>
        </w:rPr>
      </w:pPr>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outlineLvl w:val="0"/>
        <w:rPr>
          <w:rFonts w:hint="eastAsia" w:ascii="仿宋_GB2312" w:hAnsi="仿宋_GB2312" w:eastAsia="仿宋_GB2312" w:cs="仿宋_GB2312"/>
          <w:color w:val="auto"/>
          <w:sz w:val="30"/>
          <w:szCs w:val="30"/>
          <w:lang w:eastAsia="zh-CN"/>
        </w:rPr>
      </w:pPr>
    </w:p>
    <w:p>
      <w:pPr>
        <w:pStyle w:val="2"/>
        <w:keepNext/>
        <w:keepLines/>
        <w:pageBreakBefore w:val="0"/>
        <w:widowControl w:val="0"/>
        <w:kinsoku/>
        <w:wordWrap/>
        <w:overflowPunct/>
        <w:topLinePunct w:val="0"/>
        <w:autoSpaceDE/>
        <w:autoSpaceDN/>
        <w:bidi w:val="0"/>
        <w:adjustRightInd/>
        <w:snapToGrid/>
        <w:spacing w:before="0" w:after="0" w:line="240" w:lineRule="exact"/>
        <w:jc w:val="both"/>
        <w:textAlignment w:val="auto"/>
        <w:outlineLvl w:val="0"/>
        <w:rPr>
          <w:rFonts w:hint="eastAsia" w:ascii="仿宋_GB2312" w:hAnsi="仿宋_GB2312" w:eastAsia="仿宋_GB2312" w:cs="仿宋_GB2312"/>
          <w:color w:val="auto"/>
          <w:sz w:val="30"/>
          <w:szCs w:val="30"/>
          <w:lang w:eastAsia="zh-CN"/>
        </w:rPr>
      </w:pPr>
    </w:p>
    <w:p>
      <w:pPr>
        <w:pStyle w:val="2"/>
        <w:keepNext/>
        <w:keepLines/>
        <w:pageBreakBefore w:val="0"/>
        <w:widowControl w:val="0"/>
        <w:kinsoku/>
        <w:wordWrap/>
        <w:overflowPunct/>
        <w:topLinePunct w:val="0"/>
        <w:autoSpaceDE/>
        <w:autoSpaceDN/>
        <w:bidi w:val="0"/>
        <w:adjustRightInd/>
        <w:snapToGrid/>
        <w:spacing w:before="0" w:after="0" w:line="520" w:lineRule="exact"/>
        <w:jc w:val="both"/>
        <w:textAlignment w:val="auto"/>
        <w:outlineLvl w:val="0"/>
        <w:rPr>
          <w:rFonts w:hint="eastAsia" w:ascii="仿宋_GB2312" w:hAnsi="仿宋_GB2312" w:eastAsia="仿宋_GB2312" w:cs="仿宋_GB2312"/>
          <w:color w:val="auto"/>
          <w:sz w:val="30"/>
          <w:szCs w:val="30"/>
          <w:lang w:eastAsia="zh-CN"/>
        </w:rPr>
      </w:pPr>
    </w:p>
    <w:p>
      <w:pPr>
        <w:rPr>
          <w:rFonts w:hint="eastAsia" w:ascii="仿宋_GB2312" w:hAnsi="仿宋_GB2312" w:eastAsia="仿宋_GB2312" w:cs="仿宋_GB2312"/>
          <w:color w:val="auto"/>
          <w:sz w:val="30"/>
          <w:szCs w:val="30"/>
          <w:lang w:eastAsia="zh-CN"/>
        </w:rPr>
      </w:pPr>
    </w:p>
    <w:p>
      <w:pPr>
        <w:pStyle w:val="9"/>
        <w:rPr>
          <w:rFonts w:hint="eastAsia" w:ascii="仿宋_GB2312" w:hAnsi="仿宋_GB2312" w:eastAsia="仿宋_GB2312" w:cs="仿宋_GB2312"/>
          <w:color w:val="auto"/>
          <w:sz w:val="30"/>
          <w:szCs w:val="30"/>
          <w:lang w:eastAsia="zh-CN"/>
        </w:rPr>
      </w:pPr>
    </w:p>
    <w:p>
      <w:pPr>
        <w:rPr>
          <w:rFonts w:hint="eastAsia" w:ascii="仿宋_GB2312" w:hAnsi="仿宋_GB2312" w:eastAsia="仿宋_GB2312" w:cs="仿宋_GB2312"/>
          <w:color w:val="auto"/>
          <w:sz w:val="30"/>
          <w:szCs w:val="30"/>
          <w:lang w:eastAsia="zh-CN"/>
        </w:rPr>
      </w:pPr>
    </w:p>
    <w:p>
      <w:pPr>
        <w:pStyle w:val="9"/>
        <w:rPr>
          <w:rFonts w:hint="eastAsia"/>
          <w:lang w:eastAsia="zh-CN"/>
        </w:rPr>
      </w:pPr>
    </w:p>
    <w:p>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outlineLvl w:val="0"/>
        <w:rPr>
          <w:rFonts w:ascii="Times New Roman" w:hAnsi="Times New Roman" w:eastAsia="方正小标宋简体"/>
          <w:color w:val="auto"/>
        </w:rPr>
      </w:pPr>
      <w:r>
        <w:rPr>
          <w:rFonts w:hint="eastAsia" w:ascii="仿宋_GB2312" w:hAnsi="仿宋_GB2312" w:eastAsia="仿宋_GB2312" w:cs="仿宋_GB2312"/>
          <w:color w:val="auto"/>
          <w:sz w:val="30"/>
          <w:szCs w:val="30"/>
          <w:lang w:eastAsia="zh-CN"/>
        </w:rPr>
        <w:t>（二）烟花爆竹零售经营店</w:t>
      </w:r>
      <w:bookmarkEnd w:id="0"/>
      <w:r>
        <w:rPr>
          <w:rFonts w:hint="eastAsia" w:ascii="仿宋_GB2312" w:hAnsi="仿宋_GB2312" w:eastAsia="仿宋_GB2312" w:cs="仿宋_GB2312"/>
          <w:color w:val="auto"/>
          <w:sz w:val="30"/>
          <w:szCs w:val="30"/>
          <w:lang w:eastAsia="zh-CN"/>
        </w:rPr>
        <w:t>重点</w:t>
      </w:r>
      <w:r>
        <w:rPr>
          <w:rFonts w:hint="eastAsia" w:ascii="仿宋_GB2312" w:hAnsi="仿宋_GB2312" w:eastAsia="仿宋_GB2312" w:cs="仿宋_GB2312"/>
          <w:color w:val="auto"/>
          <w:sz w:val="30"/>
          <w:szCs w:val="30"/>
        </w:rPr>
        <w:t>检查</w:t>
      </w:r>
      <w:r>
        <w:rPr>
          <w:rFonts w:hint="eastAsia" w:ascii="仿宋_GB2312" w:hAnsi="仿宋_GB2312" w:eastAsia="仿宋_GB2312" w:cs="仿宋_GB2312"/>
          <w:color w:val="auto"/>
          <w:sz w:val="30"/>
          <w:szCs w:val="30"/>
          <w:lang w:eastAsia="zh-CN"/>
        </w:rPr>
        <w:t>事项</w:t>
      </w:r>
      <w:r>
        <w:rPr>
          <w:rFonts w:hint="eastAsia" w:ascii="仿宋_GB2312" w:hAnsi="仿宋_GB2312" w:eastAsia="仿宋_GB2312" w:cs="仿宋_GB2312"/>
          <w:color w:val="auto"/>
          <w:sz w:val="30"/>
          <w:szCs w:val="30"/>
        </w:rPr>
        <w:t>清单</w:t>
      </w:r>
    </w:p>
    <w:tbl>
      <w:tblPr>
        <w:tblStyle w:val="5"/>
        <w:tblW w:w="15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0"/>
        <w:gridCol w:w="951"/>
        <w:gridCol w:w="3900"/>
        <w:gridCol w:w="3900"/>
        <w:gridCol w:w="390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16" w:type="dxa"/>
            <w:noWrap w:val="0"/>
            <w:vAlign w:val="center"/>
          </w:tcPr>
          <w:p>
            <w:pPr>
              <w:spacing w:line="200" w:lineRule="exact"/>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序号</w:t>
            </w:r>
          </w:p>
        </w:tc>
        <w:tc>
          <w:tcPr>
            <w:tcW w:w="950" w:type="dxa"/>
            <w:noWrap w:val="0"/>
            <w:vAlign w:val="center"/>
          </w:tcPr>
          <w:p>
            <w:pPr>
              <w:spacing w:line="200" w:lineRule="exact"/>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951" w:type="dxa"/>
            <w:noWrap w:val="0"/>
            <w:vAlign w:val="center"/>
          </w:tcPr>
          <w:p>
            <w:pPr>
              <w:spacing w:line="200" w:lineRule="exact"/>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3900" w:type="dxa"/>
            <w:noWrap w:val="0"/>
            <w:vAlign w:val="center"/>
          </w:tcPr>
          <w:p>
            <w:pPr>
              <w:spacing w:line="200" w:lineRule="exact"/>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检查依据</w:t>
            </w:r>
          </w:p>
        </w:tc>
        <w:tc>
          <w:tcPr>
            <w:tcW w:w="3900" w:type="dxa"/>
            <w:noWrap w:val="0"/>
            <w:vAlign w:val="center"/>
          </w:tcPr>
          <w:p>
            <w:pPr>
              <w:spacing w:line="200" w:lineRule="exact"/>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主要证据</w:t>
            </w:r>
          </w:p>
        </w:tc>
        <w:tc>
          <w:tcPr>
            <w:tcW w:w="3900" w:type="dxa"/>
            <w:noWrap w:val="0"/>
            <w:vAlign w:val="center"/>
          </w:tcPr>
          <w:p>
            <w:pPr>
              <w:spacing w:line="200" w:lineRule="exact"/>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法律责任</w:t>
            </w:r>
          </w:p>
        </w:tc>
        <w:tc>
          <w:tcPr>
            <w:tcW w:w="951" w:type="dxa"/>
            <w:noWrap w:val="0"/>
            <w:vAlign w:val="center"/>
          </w:tcPr>
          <w:p>
            <w:pPr>
              <w:spacing w:line="200" w:lineRule="exact"/>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616" w:type="dxa"/>
            <w:vMerge w:val="restart"/>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烟花爆竹经营许可情况</w:t>
            </w:r>
          </w:p>
        </w:tc>
        <w:tc>
          <w:tcPr>
            <w:tcW w:w="9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1.1</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取得许可证经营</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w:t>
            </w:r>
            <w:r>
              <w:rPr>
                <w:rFonts w:hint="eastAsia" w:ascii="Times New Roman" w:hAnsi="Times New Roman" w:eastAsia="仿宋_GB2312"/>
                <w:b/>
                <w:bCs/>
                <w:snapToGrid w:val="0"/>
                <w:color w:val="auto"/>
                <w:kern w:val="0"/>
                <w:sz w:val="18"/>
                <w:szCs w:val="18"/>
              </w:rPr>
              <w:t>安全生产法</w:t>
            </w:r>
            <w:r>
              <w:rPr>
                <w:rFonts w:ascii="Times New Roman" w:hAnsi="Times New Roman" w:eastAsia="仿宋_GB2312"/>
                <w:b/>
                <w:bCs/>
                <w:snapToGrid w:val="0"/>
                <w:color w:val="auto"/>
                <w:kern w:val="0"/>
                <w:sz w:val="18"/>
                <w:szCs w:val="18"/>
              </w:rPr>
              <w:t>》</w:t>
            </w:r>
            <w:r>
              <w:rPr>
                <w:rFonts w:ascii="Times New Roman" w:hAnsi="Times New Roman" w:eastAsia="仿宋_GB2312"/>
                <w:b/>
                <w:snapToGrid w:val="0"/>
                <w:color w:val="auto"/>
                <w:kern w:val="0"/>
                <w:sz w:val="18"/>
                <w:szCs w:val="18"/>
              </w:rPr>
              <w:t>第十七条</w:t>
            </w:r>
            <w:r>
              <w:rPr>
                <w:rFonts w:ascii="Times New Roman" w:hAnsi="Times New Roman" w:eastAsia="仿宋_GB2312"/>
                <w:bCs/>
                <w:snapToGrid w:val="0"/>
                <w:color w:val="auto"/>
                <w:kern w:val="0"/>
                <w:sz w:val="18"/>
                <w:szCs w:val="18"/>
              </w:rPr>
              <w:t xml:space="preserve">  生产经营单位应当具备本法和有关法律、行政法规和国家标准或者行业标准规定的安全生产条件；不具备安全生产条件的，不得从事生产经营活动。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第三条</w:t>
            </w:r>
            <w:r>
              <w:rPr>
                <w:rFonts w:hint="eastAsia" w:ascii="Times New Roman" w:hAnsi="Times New Roman" w:eastAsia="仿宋_GB2312"/>
                <w:bCs/>
                <w:snapToGrid w:val="0"/>
                <w:color w:val="auto"/>
                <w:kern w:val="0"/>
                <w:sz w:val="18"/>
                <w:szCs w:val="18"/>
              </w:rPr>
              <w:t xml:space="preserve">  </w:t>
            </w:r>
            <w:r>
              <w:rPr>
                <w:rFonts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rPr>
              <w:t xml:space="preserve">  </w:t>
            </w:r>
            <w:r>
              <w:rPr>
                <w:rFonts w:ascii="Times New Roman" w:hAnsi="Times New Roman" w:eastAsia="仿宋_GB2312"/>
                <w:bCs/>
                <w:snapToGrid w:val="0"/>
                <w:color w:val="auto"/>
                <w:kern w:val="0"/>
                <w:sz w:val="18"/>
                <w:szCs w:val="1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从事烟花爆竹进出口的企业，应当按照本办法的规定申请办理批发许可证。</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
                <w:bCs/>
                <w:snapToGrid w:val="0"/>
                <w:color w:val="auto"/>
                <w:kern w:val="0"/>
                <w:sz w:val="18"/>
                <w:szCs w:val="18"/>
              </w:rPr>
            </w:pPr>
            <w:r>
              <w:rPr>
                <w:rFonts w:ascii="Times New Roman" w:hAnsi="Times New Roman" w:eastAsia="仿宋_GB2312"/>
                <w:bCs/>
                <w:snapToGrid w:val="0"/>
                <w:color w:val="auto"/>
                <w:kern w:val="0"/>
                <w:sz w:val="18"/>
                <w:szCs w:val="18"/>
              </w:rPr>
              <w:t>未取得烟花爆竹经营许可证的，任何单位或者个人不得从事烟花爆竹经营活动。</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相关证照；</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《现场检查记录》《责令限期整改指令书》《现场处理措施决定书》《查封扣押决定书》等相关执法文书；</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（3）未取得烟花爆竹经营许可证的证明材料</w:t>
            </w:r>
            <w:r>
              <w:rPr>
                <w:rFonts w:hint="eastAsia" w:ascii="Times New Roman" w:hAnsi="Times New Roman" w:eastAsia="仿宋_GB2312"/>
                <w:bCs/>
                <w:snapToGrid w:val="0"/>
                <w:color w:val="auto"/>
                <w:kern w:val="0"/>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（4）产品流向登记记录；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（5）出入库登记记录；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（6）销售合同及相关账务资料；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（7）现场照片及影像资料；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（8）企业相关人员任职文件、身份证明及其询问笔录；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w:t>
            </w:r>
            <w:r>
              <w:rPr>
                <w:rFonts w:hint="eastAsia" w:ascii="Times New Roman" w:hAnsi="Times New Roman" w:eastAsia="仿宋_GB2312"/>
                <w:b/>
                <w:bCs/>
                <w:snapToGrid w:val="0"/>
                <w:color w:val="auto"/>
                <w:kern w:val="0"/>
                <w:sz w:val="18"/>
                <w:szCs w:val="18"/>
              </w:rPr>
              <w:t>安全生产法</w:t>
            </w:r>
            <w:r>
              <w:rPr>
                <w:rFonts w:ascii="Times New Roman" w:hAnsi="Times New Roman" w:eastAsia="仿宋_GB2312"/>
                <w:b/>
                <w:bCs/>
                <w:snapToGrid w:val="0"/>
                <w:color w:val="auto"/>
                <w:kern w:val="0"/>
                <w:sz w:val="18"/>
                <w:szCs w:val="18"/>
              </w:rPr>
              <w:t>》</w:t>
            </w:r>
            <w:r>
              <w:rPr>
                <w:rFonts w:ascii="Times New Roman" w:hAnsi="Times New Roman" w:eastAsia="仿宋_GB2312"/>
                <w:b/>
                <w:snapToGrid w:val="0"/>
                <w:color w:val="auto"/>
                <w:kern w:val="0"/>
                <w:sz w:val="18"/>
                <w:szCs w:val="18"/>
              </w:rPr>
              <w:t>第九十七条</w:t>
            </w:r>
            <w:r>
              <w:rPr>
                <w:rFonts w:ascii="Times New Roman" w:hAnsi="Times New Roman" w:eastAsia="仿宋_GB2312"/>
                <w:bCs/>
                <w:snapToGrid w:val="0"/>
                <w:color w:val="auto"/>
                <w:kern w:val="0"/>
                <w:sz w:val="18"/>
                <w:szCs w:val="18"/>
              </w:rPr>
              <w:t xml:space="preserve">  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第三十六条</w:t>
            </w:r>
            <w:r>
              <w:rPr>
                <w:rFonts w:hint="eastAsia" w:ascii="Times New Roman" w:hAnsi="Times New Roman" w:eastAsia="仿宋_GB2312"/>
                <w:b/>
                <w:snapToGrid w:val="0"/>
                <w:color w:val="auto"/>
                <w:kern w:val="0"/>
                <w:sz w:val="18"/>
                <w:szCs w:val="18"/>
              </w:rPr>
              <w:t xml:space="preserve"> </w:t>
            </w:r>
            <w:r>
              <w:rPr>
                <w:rFonts w:ascii="Times New Roman" w:hAnsi="Times New Roman" w:eastAsia="仿宋_GB2312"/>
                <w:bCs/>
                <w:snapToGrid w:val="0"/>
                <w:color w:val="auto"/>
                <w:kern w:val="0"/>
                <w:sz w:val="18"/>
                <w:szCs w:val="18"/>
              </w:rPr>
              <w:t>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 ……</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第三十一条</w:t>
            </w:r>
            <w:r>
              <w:rPr>
                <w:rFonts w:hint="eastAsia" w:ascii="Times New Roman" w:hAnsi="Times New Roman" w:eastAsia="仿宋_GB2312"/>
                <w:b/>
                <w:snapToGrid w:val="0"/>
                <w:color w:val="auto"/>
                <w:kern w:val="0"/>
                <w:sz w:val="18"/>
                <w:szCs w:val="18"/>
              </w:rPr>
              <w:t xml:space="preserve">  </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51" w:type="dxa"/>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16" w:type="dxa"/>
            <w:vMerge w:val="continue"/>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outlineLvl w:val="9"/>
              <w:rPr>
                <w:rFonts w:ascii="Times New Roman" w:hAnsi="Times New Roman" w:eastAsia="仿宋_GB2312"/>
                <w:bCs/>
                <w:color w:val="auto"/>
                <w:sz w:val="18"/>
                <w:szCs w:val="18"/>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outlineLvl w:val="9"/>
              <w:rPr>
                <w:rFonts w:ascii="Times New Roman" w:hAnsi="Times New Roman" w:eastAsia="仿宋_GB2312"/>
                <w:bCs/>
                <w:color w:val="auto"/>
                <w:sz w:val="18"/>
                <w:szCs w:val="1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lang w:val="en-US" w:eastAsia="zh-CN"/>
              </w:rPr>
              <w:t>2</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零售许可证重新申领</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第二十一条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（3）零售点名称、主要负责人或者经营场所工商登记变更资料；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（4）烟花爆竹零售许可证发证机关未变更许可证的证明材料；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（5）零售经营者安全教育培训合格证明</w:t>
            </w:r>
            <w:r>
              <w:rPr>
                <w:rFonts w:hint="eastAsia" w:ascii="Times New Roman" w:hAnsi="Times New Roman" w:eastAsia="仿宋_GB2312"/>
                <w:bCs/>
                <w:snapToGrid w:val="0"/>
                <w:color w:val="auto"/>
                <w:kern w:val="0"/>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（6）经营场所现场照片及影像资料；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（7）零售经营者身份证明及询问笔录；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第三十五条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（一）变更零售点名称、主要负责人或者经营场所，未重新办理零售许可证的；……</w:t>
            </w:r>
          </w:p>
        </w:tc>
        <w:tc>
          <w:tcPr>
            <w:tcW w:w="951" w:type="dxa"/>
            <w:vMerge w:val="restart"/>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616" w:type="dxa"/>
            <w:vMerge w:val="restart"/>
            <w:noWrap w:val="0"/>
            <w:vAlign w:val="center"/>
          </w:tcPr>
          <w:p>
            <w:pPr>
              <w:spacing w:line="200" w:lineRule="exact"/>
              <w:jc w:val="center"/>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lang w:val="en-US" w:eastAsia="zh-CN"/>
              </w:rPr>
              <w:t>1</w:t>
            </w:r>
          </w:p>
        </w:tc>
        <w:tc>
          <w:tcPr>
            <w:tcW w:w="950" w:type="dxa"/>
            <w:vMerge w:val="restart"/>
            <w:noWrap w:val="0"/>
            <w:vAlign w:val="center"/>
          </w:tcPr>
          <w:p>
            <w:pPr>
              <w:spacing w:line="200" w:lineRule="exact"/>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烟花爆竹经营许可情况</w:t>
            </w:r>
          </w:p>
        </w:tc>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lang w:val="en-US" w:eastAsia="zh-CN"/>
              </w:rPr>
              <w:t>.3</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出租、出借、转让、买卖、冒用许可证或者使用伪造的许可证</w:t>
            </w:r>
            <w:r>
              <w:rPr>
                <w:rFonts w:hint="eastAsia" w:ascii="Times New Roman" w:hAnsi="Times New Roman" w:eastAsia="仿宋_GB2312"/>
                <w:bCs/>
                <w:color w:val="auto"/>
                <w:sz w:val="18"/>
                <w:szCs w:val="18"/>
              </w:rPr>
              <w:t>（重大隐患）</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烟花爆竹经营单位不得出租、出借、转让、买卖、……烟花爆竹经营许可证。</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《现场检查记录》《现场处理措施决定书》等相关执法文书；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（3）出租、出借、转让、买卖的协议、财务资料；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（4）现场照片及影像资料；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（5）相关人员任职文件、身份证明及其询问笔录；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第三十六条第一款</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烟花爆竹经营单位出租、出借、转让、买卖烟花爆竹经营许可证的，责令其停止违法行为，处1万元以上3万元以下的罚款，并依法撤销烟花爆竹经营许可证。</w:t>
            </w:r>
          </w:p>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bCs/>
                <w:snapToGrid w:val="0"/>
                <w:color w:val="auto"/>
                <w:kern w:val="0"/>
                <w:sz w:val="18"/>
                <w:szCs w:val="18"/>
              </w:rPr>
            </w:pPr>
          </w:p>
        </w:tc>
        <w:tc>
          <w:tcPr>
            <w:tcW w:w="951" w:type="dxa"/>
            <w:vMerge w:val="continue"/>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616" w:type="dxa"/>
            <w:vMerge w:val="continue"/>
            <w:noWrap w:val="0"/>
            <w:vAlign w:val="center"/>
          </w:tcPr>
          <w:p>
            <w:pPr>
              <w:spacing w:line="200" w:lineRule="exact"/>
              <w:jc w:val="center"/>
              <w:rPr>
                <w:rFonts w:ascii="Times New Roman" w:hAnsi="Times New Roman" w:eastAsia="仿宋_GB2312"/>
                <w:bCs/>
                <w:color w:val="auto"/>
                <w:sz w:val="18"/>
                <w:szCs w:val="18"/>
              </w:rPr>
            </w:pPr>
          </w:p>
        </w:tc>
        <w:tc>
          <w:tcPr>
            <w:tcW w:w="950" w:type="dxa"/>
            <w:vMerge w:val="continue"/>
            <w:noWrap w:val="0"/>
            <w:vAlign w:val="center"/>
          </w:tcPr>
          <w:p>
            <w:pPr>
              <w:spacing w:line="200" w:lineRule="exact"/>
              <w:jc w:val="center"/>
              <w:rPr>
                <w:rFonts w:ascii="Times New Roman" w:hAnsi="Times New Roman" w:eastAsia="仿宋_GB2312"/>
                <w:bCs/>
                <w:color w:val="auto"/>
                <w:sz w:val="18"/>
                <w:szCs w:val="18"/>
              </w:rPr>
            </w:pPr>
          </w:p>
        </w:tc>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outlineLvl w:val="9"/>
              <w:rPr>
                <w:rFonts w:ascii="Times New Roman" w:hAnsi="Times New Roman" w:eastAsia="仿宋_GB2312"/>
                <w:bCs/>
                <w:color w:val="auto"/>
                <w:sz w:val="18"/>
                <w:szCs w:val="18"/>
              </w:rPr>
            </w:pP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烟花爆竹经营单位不得……冒用或者使用伪造的烟花爆竹经营许可证。</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（3）冒用或伪造的烟花爆竹经营许可证原件；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（4）被冒用的烟花爆竹经营许可证复印件；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（5）烟花爆竹经营许可证发证机关印证伪造的材料；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（6）销售收入情况；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（7）鉴定结论；</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（8）现场照片及影像资料；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（9）相关人员身份证明及其询问笔录；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（10）其他相关证据。</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第三十六条第二款</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冒用或者使用伪造的烟花爆竹经营许可证的，依照本办法第三十一条的规定处罚。</w:t>
            </w:r>
          </w:p>
          <w:p>
            <w:pPr>
              <w:keepNext w:val="0"/>
              <w:keepLines w:val="0"/>
              <w:pageBreakBefore w:val="0"/>
              <w:widowControl w:val="0"/>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《烟花爆竹经营许可实施办法》第三十一条</w:t>
            </w:r>
            <w:r>
              <w:rPr>
                <w:rFonts w:hint="eastAsia" w:ascii="Times New Roman" w:hAnsi="Times New Roman" w:eastAsia="仿宋_GB2312"/>
                <w:bCs/>
                <w:snapToGrid w:val="0"/>
                <w:color w:val="auto"/>
                <w:kern w:val="0"/>
                <w:sz w:val="18"/>
                <w:szCs w:val="18"/>
              </w:rPr>
              <w:t xml:space="preserve">  </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51" w:type="dxa"/>
            <w:vMerge w:val="continue"/>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noWrap w:val="0"/>
            <w:vAlign w:val="center"/>
          </w:tcPr>
          <w:p>
            <w:pPr>
              <w:spacing w:line="200" w:lineRule="exact"/>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950" w:type="dxa"/>
            <w:noWrap w:val="0"/>
            <w:vAlign w:val="center"/>
          </w:tcPr>
          <w:p>
            <w:pPr>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经营管理情况</w:t>
            </w:r>
          </w:p>
        </w:tc>
        <w:tc>
          <w:tcPr>
            <w:tcW w:w="951" w:type="dxa"/>
            <w:noWrap w:val="0"/>
            <w:vAlign w:val="center"/>
          </w:tcPr>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采购和销售非法生产、经营的烟花爆竹，采购和销售产品质量不符合标准规定的烟花爆竹，销售应当由专业燃放人员燃放的烟花爆竹</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》第二十条第二款</w:t>
            </w:r>
            <w:r>
              <w:rPr>
                <w:rFonts w:hint="eastAsia" w:ascii="Times New Roman" w:hAnsi="Times New Roman" w:eastAsia="仿宋_GB2312"/>
                <w:b/>
                <w:color w:val="auto"/>
                <w:sz w:val="18"/>
                <w:szCs w:val="18"/>
              </w:rPr>
              <w:t xml:space="preserve">、第三款  </w:t>
            </w:r>
            <w:r>
              <w:rPr>
                <w:rFonts w:ascii="Times New Roman" w:hAnsi="Times New Roman" w:eastAsia="仿宋_GB2312"/>
                <w:bCs/>
                <w:color w:val="auto"/>
                <w:sz w:val="18"/>
                <w:szCs w:val="18"/>
              </w:rPr>
              <w:t>从事烟花爆竹批发的企业、零售经营者不得采购和销售非法生产、经营的烟花爆竹。</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第二十二条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批发企业、零售经营者不得采购和销售非法生产、经营的烟花爆竹和产品质量不符合国家标准或者行业标准规定的烟花爆竹。</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零售经营者应当向批发企业采购烟花爆竹，不得采购、储存和销售礼花弹等应当由专业燃放人员燃放的烟花爆竹，不得采购、储存和销售烟火药、黑火药、引火线。</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第二十四条</w:t>
            </w:r>
            <w:r>
              <w:rPr>
                <w:rFonts w:hint="eastAsia" w:ascii="Times New Roman" w:hAnsi="Times New Roman" w:eastAsia="仿宋_GB2312"/>
                <w:bCs/>
                <w:snapToGrid w:val="0"/>
                <w:color w:val="auto"/>
                <w:kern w:val="0"/>
                <w:sz w:val="18"/>
                <w:szCs w:val="18"/>
              </w:rPr>
              <w:t xml:space="preserve">  </w:t>
            </w:r>
            <w:r>
              <w:rPr>
                <w:rFonts w:ascii="Times New Roman" w:hAnsi="Times New Roman" w:eastAsia="仿宋_GB2312"/>
                <w:bCs/>
                <w:snapToGrid w:val="0"/>
                <w:color w:val="auto"/>
                <w:kern w:val="0"/>
                <w:sz w:val="18"/>
                <w:szCs w:val="18"/>
              </w:rPr>
              <w:t>生产企业、批发企业所生产、销售烟花爆竹的质量、包装、标志应当符合国家标准或者行业标准的规定。</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（3）买卖合同；</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（4）流向登记记录；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（5）产品出入库登记记录；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（6）产品质量鉴定结论；</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（7）产品消费类别鉴定结论；</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（8）销售记录及账务资料等；</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（9）非法生产、经营烟花爆竹的证明材料；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（10）现场照片及影像资料；</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11）企业</w:t>
            </w:r>
            <w:r>
              <w:rPr>
                <w:rFonts w:ascii="Times New Roman" w:hAnsi="Times New Roman" w:eastAsia="仿宋_GB2312"/>
                <w:bCs/>
                <w:snapToGrid w:val="0"/>
                <w:color w:val="auto"/>
                <w:kern w:val="0"/>
                <w:sz w:val="18"/>
                <w:szCs w:val="18"/>
              </w:rPr>
              <w:t>相关人员任职文件、身份证明及其询问笔录；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12）其他相关证据。</w:t>
            </w:r>
          </w:p>
        </w:tc>
        <w:tc>
          <w:tcPr>
            <w:tcW w:w="3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 xml:space="preserve">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（二）采购和销售质量不符合国家标准或者行业标准规定的烟花爆竹的；……</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（十）向未取得零售许可证的单位或者个人销售烟花爆竹的。</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第三十四条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零售经营者有下列行为之一的，责令其停止违法行为，处1000元以上5000元以下的罚款，并没收非法经营的物品及违法所得；情节严重的，依法吊销零售许可证：</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（一）销售非法生产、经营的烟花爆竹的；</w:t>
            </w:r>
          </w:p>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（二）销售礼花弹等按照国家标准规定应当由专业人员燃放的烟花爆竹的。</w:t>
            </w:r>
          </w:p>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color w:val="auto"/>
                <w:sz w:val="18"/>
                <w:szCs w:val="18"/>
              </w:rPr>
              <w:t>第三十九条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违反本规定，构成《</w:t>
            </w:r>
            <w:r>
              <w:rPr>
                <w:rFonts w:hint="eastAsia" w:ascii="Times New Roman" w:hAnsi="Times New Roman" w:eastAsia="仿宋_GB2312"/>
                <w:bCs/>
                <w:color w:val="auto"/>
                <w:sz w:val="18"/>
                <w:szCs w:val="18"/>
              </w:rPr>
              <w:t>安全生产法</w:t>
            </w:r>
            <w:r>
              <w:rPr>
                <w:rFonts w:ascii="Times New Roman" w:hAnsi="Times New Roman" w:eastAsia="仿宋_GB2312"/>
                <w:bCs/>
                <w:color w:val="auto"/>
                <w:sz w:val="18"/>
                <w:szCs w:val="18"/>
              </w:rPr>
              <w:t>》及其他法律、行政法规规定的其他违法行为的，依照《</w:t>
            </w:r>
            <w:r>
              <w:rPr>
                <w:rFonts w:hint="eastAsia" w:ascii="Times New Roman" w:hAnsi="Times New Roman" w:eastAsia="仿宋_GB2312"/>
                <w:bCs/>
                <w:color w:val="auto"/>
                <w:sz w:val="18"/>
                <w:szCs w:val="18"/>
              </w:rPr>
              <w:t>安全生产法</w:t>
            </w:r>
            <w:r>
              <w:rPr>
                <w:rFonts w:ascii="Times New Roman" w:hAnsi="Times New Roman" w:eastAsia="仿宋_GB2312"/>
                <w:bCs/>
                <w:color w:val="auto"/>
                <w:sz w:val="18"/>
                <w:szCs w:val="18"/>
              </w:rPr>
              <w:t>》等法律、行政法规的规定处理。涉嫌犯罪的，依法移送司法机关追究刑事责任。</w:t>
            </w:r>
          </w:p>
        </w:tc>
        <w:tc>
          <w:tcPr>
            <w:tcW w:w="951" w:type="dxa"/>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6" w:type="dxa"/>
            <w:noWrap w:val="0"/>
            <w:vAlign w:val="center"/>
          </w:tcPr>
          <w:p>
            <w:pPr>
              <w:spacing w:line="200" w:lineRule="exact"/>
              <w:jc w:val="center"/>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lang w:val="en-US" w:eastAsia="zh-CN"/>
              </w:rPr>
              <w:t>2</w:t>
            </w:r>
          </w:p>
        </w:tc>
        <w:tc>
          <w:tcPr>
            <w:tcW w:w="950" w:type="dxa"/>
            <w:noWrap w:val="0"/>
            <w:vAlign w:val="center"/>
          </w:tcPr>
          <w:p>
            <w:pPr>
              <w:spacing w:line="200" w:lineRule="exact"/>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经营管理情况</w:t>
            </w:r>
          </w:p>
        </w:tc>
        <w:tc>
          <w:tcPr>
            <w:tcW w:w="951" w:type="dxa"/>
            <w:noWrap w:val="0"/>
            <w:vAlign w:val="center"/>
          </w:tcPr>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hint="eastAsia" w:ascii="Times New Roman" w:hAnsi="Times New Roman" w:eastAsia="仿宋_GB2312"/>
                <w:bCs/>
                <w:color w:val="auto"/>
                <w:sz w:val="18"/>
                <w:szCs w:val="18"/>
                <w:lang w:val="en-US" w:eastAsia="zh-CN"/>
              </w:rPr>
              <w:t>2</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批发企业储存及零售点存放管理</w:t>
            </w:r>
            <w:r>
              <w:rPr>
                <w:rFonts w:hint="eastAsia" w:ascii="Times New Roman" w:hAnsi="Times New Roman" w:eastAsia="仿宋_GB2312"/>
                <w:bCs/>
                <w:color w:val="auto"/>
                <w:sz w:val="18"/>
                <w:szCs w:val="18"/>
              </w:rPr>
              <w:t>（重大隐患）</w:t>
            </w:r>
          </w:p>
        </w:tc>
        <w:tc>
          <w:tcPr>
            <w:tcW w:w="3900" w:type="dxa"/>
            <w:noWrap w:val="0"/>
            <w:vAlign w:val="center"/>
          </w:tcPr>
          <w:p>
            <w:pPr>
              <w:keepNext w:val="0"/>
              <w:keepLines w:val="0"/>
              <w:pageBreakBefore w:val="0"/>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第二十三条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禁止在烟花爆竹经营许可证载明的储存（零售）场所以外储存烟花爆竹。</w:t>
            </w:r>
          </w:p>
          <w:p>
            <w:pPr>
              <w:keepNext w:val="0"/>
              <w:keepLines w:val="0"/>
              <w:pageBreakBefore w:val="0"/>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烟花爆竹仓库储存的烟花爆竹品种、规格和数量，不得超过国家标准或者行业标准规定的危险等级和核定限量。</w:t>
            </w:r>
          </w:p>
          <w:p>
            <w:pPr>
              <w:keepNext w:val="0"/>
              <w:keepLines w:val="0"/>
              <w:pageBreakBefore w:val="0"/>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零售点存放的烟花爆竹品种和数量，不得超过烟花爆竹经营许可证载明的范围和限量。</w:t>
            </w:r>
          </w:p>
          <w:p>
            <w:pPr>
              <w:keepNext w:val="0"/>
              <w:keepLines w:val="0"/>
              <w:pageBreakBefore w:val="0"/>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标准见《烟花爆竹作业安全技术规程》GB11652</w:t>
            </w:r>
          </w:p>
          <w:p>
            <w:pPr>
              <w:keepNext w:val="0"/>
              <w:keepLines w:val="0"/>
              <w:pageBreakBefore w:val="0"/>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snapToGrid w:val="0"/>
                <w:color w:val="auto"/>
                <w:kern w:val="0"/>
                <w:sz w:val="18"/>
                <w:szCs w:val="18"/>
              </w:rPr>
              <w:t>第二十条</w:t>
            </w:r>
            <w:r>
              <w:rPr>
                <w:rFonts w:ascii="Times New Roman" w:hAnsi="Times New Roman" w:eastAsia="仿宋_GB2312"/>
                <w:bCs/>
                <w:snapToGrid w:val="0"/>
                <w:color w:val="auto"/>
                <w:kern w:val="0"/>
                <w:sz w:val="18"/>
                <w:szCs w:val="18"/>
              </w:rPr>
              <w:t xml:space="preserve">  生产企业、批发企业应当按照设计用途、危险等级、核定药量使用药物总库和成品总库，并按规定堆码，分类分级存放，保持仓库内通道畅通，准确记录药物和产品数量。</w:t>
            </w:r>
          </w:p>
          <w:p>
            <w:pPr>
              <w:keepNext w:val="0"/>
              <w:keepLines w:val="0"/>
              <w:pageBreakBefore w:val="0"/>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tc>
        <w:tc>
          <w:tcPr>
            <w:tcW w:w="3900" w:type="dxa"/>
            <w:noWrap w:val="0"/>
            <w:vAlign w:val="center"/>
          </w:tcPr>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（3）现场照片及影像资料；</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（4）烟花爆竹安全评价报告；</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（5）烟花爆竹仓库设计图；</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（6）抽样检测报告；</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（7）委托鉴定结论；</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（8）企业相关人员任职文件、身份证明及其询问笔录；</w:t>
            </w:r>
          </w:p>
          <w:p>
            <w:pPr>
              <w:keepNext w:val="0"/>
              <w:keepLines w:val="0"/>
              <w:pageBreakBefore w:val="0"/>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（9）其他相关证据。</w:t>
            </w:r>
          </w:p>
        </w:tc>
        <w:tc>
          <w:tcPr>
            <w:tcW w:w="3900" w:type="dxa"/>
            <w:noWrap w:val="0"/>
            <w:vAlign w:val="center"/>
          </w:tcPr>
          <w:p>
            <w:pPr>
              <w:keepNext w:val="0"/>
              <w:keepLines w:val="0"/>
              <w:pageBreakBefore w:val="0"/>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批发企业有下列行为之一的，责令其限期改正，处5000元以上3万元以下的罚款：……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（三）在仓库内违反国家标准或者行业标准规定储存烟花爆竹的；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（四）在烟花爆竹经营许可证载明的仓库以外储存烟花爆竹的；……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第三十五条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（二）存放的烟花爆竹数量超过零售许可证载明范围的。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第三十八条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（二）仓库内堆码、分类分级储存等违反国家标准或者行业标准规定的；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（三）在仓库内进行拆箱、包装作业，将性质不相容的物质混存的；……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616" w:type="dxa"/>
            <w:noWrap w:val="0"/>
            <w:vAlign w:val="center"/>
          </w:tcPr>
          <w:p>
            <w:pPr>
              <w:spacing w:line="200" w:lineRule="exact"/>
              <w:jc w:val="center"/>
              <w:rPr>
                <w:rFonts w:ascii="Times New Roman" w:hAnsi="Times New Roman" w:eastAsia="仿宋_GB2312"/>
                <w:bCs/>
                <w:color w:val="auto"/>
                <w:sz w:val="18"/>
                <w:szCs w:val="18"/>
              </w:rPr>
            </w:pPr>
          </w:p>
        </w:tc>
        <w:tc>
          <w:tcPr>
            <w:tcW w:w="950" w:type="dxa"/>
            <w:noWrap w:val="0"/>
            <w:vAlign w:val="center"/>
          </w:tcPr>
          <w:p>
            <w:pPr>
              <w:spacing w:line="200" w:lineRule="exact"/>
              <w:jc w:val="center"/>
              <w:rPr>
                <w:rFonts w:ascii="Times New Roman" w:hAnsi="Times New Roman" w:eastAsia="仿宋_GB2312"/>
                <w:bCs/>
                <w:color w:val="auto"/>
                <w:sz w:val="18"/>
                <w:szCs w:val="18"/>
              </w:rPr>
            </w:pPr>
          </w:p>
        </w:tc>
        <w:tc>
          <w:tcPr>
            <w:tcW w:w="951" w:type="dxa"/>
            <w:noWrap w:val="0"/>
            <w:vAlign w:val="center"/>
          </w:tcPr>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hint="eastAsia" w:ascii="Times New Roman" w:hAnsi="Times New Roman" w:eastAsia="仿宋_GB2312"/>
                <w:bCs/>
                <w:color w:val="auto"/>
                <w:sz w:val="18"/>
                <w:szCs w:val="18"/>
                <w:lang w:val="en-US" w:eastAsia="zh-CN"/>
              </w:rPr>
              <w:t>3</w:t>
            </w:r>
            <w:r>
              <w:rPr>
                <w:rFonts w:hint="eastAsia" w:ascii="Times New Roman" w:hAnsi="Times New Roman" w:eastAsia="仿宋_GB2312"/>
                <w:bCs/>
                <w:color w:val="auto"/>
                <w:sz w:val="18"/>
                <w:szCs w:val="18"/>
              </w:rPr>
              <w:t xml:space="preserve">  </w:t>
            </w:r>
            <w:r>
              <w:rPr>
                <w:rFonts w:hint="eastAsia" w:ascii="Times New Roman" w:hAnsi="Times New Roman" w:eastAsia="仿宋_GB2312"/>
                <w:bCs/>
                <w:color w:val="auto"/>
                <w:sz w:val="18"/>
                <w:szCs w:val="18"/>
                <w:lang w:eastAsia="zh-CN"/>
              </w:rPr>
              <w:t>进货</w:t>
            </w:r>
            <w:r>
              <w:rPr>
                <w:rFonts w:ascii="Times New Roman" w:hAnsi="Times New Roman" w:eastAsia="仿宋_GB2312"/>
                <w:bCs/>
                <w:color w:val="auto"/>
                <w:sz w:val="18"/>
                <w:szCs w:val="18"/>
              </w:rPr>
              <w:t>管理</w:t>
            </w:r>
          </w:p>
        </w:tc>
        <w:tc>
          <w:tcPr>
            <w:tcW w:w="3900" w:type="dxa"/>
            <w:noWrap w:val="0"/>
            <w:vAlign w:val="center"/>
          </w:tcPr>
          <w:p>
            <w:pPr>
              <w:adjustRightInd w:val="0"/>
              <w:snapToGrid w:val="0"/>
              <w:spacing w:line="200" w:lineRule="exact"/>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《烟花爆竹生产经营安全规定》第二十七条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批发企业应当向零售经营者及零售经营场所提供烟花爆竹配送服务。配送烟花爆竹抵达零售经营场所装卸作业时，应当轻拿轻放、妥善码放，禁止碰撞、拖拉、抛摔、翻滚、摩擦、挤压等不安全行为。</w:t>
            </w:r>
          </w:p>
          <w:p>
            <w:pPr>
              <w:adjustRightInd w:val="0"/>
              <w:snapToGrid w:val="0"/>
              <w:spacing w:line="200" w:lineRule="exact"/>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《烟花爆竹生产经营安全规定》第二十八条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零售经营者应当向批发企业采购烟花爆竹并接受批发企业配送服务，不得到企业仓库自行提取烟花爆竹。</w:t>
            </w:r>
          </w:p>
        </w:tc>
        <w:tc>
          <w:tcPr>
            <w:tcW w:w="3900" w:type="dxa"/>
            <w:noWrap w:val="0"/>
            <w:vAlign w:val="center"/>
          </w:tcPr>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（3）出入库登记记录；</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（4）视频监控资料；</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（5）烟花爆竹买卖合同；</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（6）烟花爆竹配送制度；</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（7）烟花爆竹流向登记资料；</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（8）烟花爆竹提货单；</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（9）现场照片及影像资料；</w:t>
            </w:r>
          </w:p>
          <w:p>
            <w:pPr>
              <w:adjustRightInd w:val="0"/>
              <w:snapToGrid w:val="0"/>
              <w:spacing w:line="200" w:lineRule="exact"/>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（10）相关人员任职文件、身份证明及其询问笔录；</w:t>
            </w:r>
          </w:p>
          <w:p>
            <w:pPr>
              <w:adjustRightInd w:val="0"/>
              <w:snapToGrid w:val="0"/>
              <w:spacing w:line="200" w:lineRule="exact"/>
              <w:jc w:val="left"/>
              <w:rPr>
                <w:rFonts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11）其他相关证据。</w:t>
            </w:r>
          </w:p>
        </w:tc>
        <w:tc>
          <w:tcPr>
            <w:tcW w:w="3900" w:type="dxa"/>
            <w:noWrap w:val="0"/>
            <w:vAlign w:val="center"/>
          </w:tcPr>
          <w:p>
            <w:pPr>
              <w:adjustRightInd w:val="0"/>
              <w:snapToGrid w:val="0"/>
              <w:spacing w:line="200" w:lineRule="exact"/>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《烟花爆竹生产经营安全规定》第三十三条</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生产企业、批发企业有下列行为之一的，责令限期改正；逾期未改正的，处一万元以上三万元以下的罚款：……</w:t>
            </w:r>
          </w:p>
          <w:p>
            <w:pPr>
              <w:widowControl/>
              <w:adjustRightInd w:val="0"/>
              <w:snapToGrid w:val="0"/>
              <w:spacing w:line="200" w:lineRule="exact"/>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（二）未向零售经营者或者零售经营场所提供烟花爆竹配送服务的。</w:t>
            </w:r>
          </w:p>
          <w:p>
            <w:pPr>
              <w:widowControl/>
              <w:adjustRightInd w:val="0"/>
              <w:snapToGrid w:val="0"/>
              <w:spacing w:line="200" w:lineRule="exact"/>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《烟花爆竹生产经营安全规定》第三十六条</w:t>
            </w:r>
            <w:r>
              <w:rPr>
                <w:rFonts w:hint="eastAsia" w:ascii="Times New Roman" w:hAnsi="Times New Roman" w:eastAsia="仿宋_GB2312"/>
                <w:b/>
                <w:color w:val="auto"/>
                <w:sz w:val="18"/>
                <w:szCs w:val="18"/>
              </w:rPr>
              <w:t xml:space="preserve">  </w:t>
            </w:r>
            <w:r>
              <w:rPr>
                <w:rFonts w:ascii="Times New Roman" w:hAnsi="Times New Roman" w:eastAsia="仿宋_GB2312"/>
                <w:bCs/>
                <w:color w:val="auto"/>
                <w:sz w:val="18"/>
                <w:szCs w:val="18"/>
              </w:rPr>
              <w:t>零售经营者有下列行为之一的，责令其限期改正，可以处一千元以上五千元以下的罚款；逾期未改正的，处五千元以上一万元以下的罚款：……</w:t>
            </w:r>
          </w:p>
          <w:p>
            <w:pPr>
              <w:widowControl/>
              <w:adjustRightInd w:val="0"/>
              <w:snapToGrid w:val="0"/>
              <w:spacing w:line="200" w:lineRule="exact"/>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（二）到批发企业仓库自行提取烟花爆竹的。</w:t>
            </w:r>
          </w:p>
        </w:tc>
        <w:tc>
          <w:tcPr>
            <w:tcW w:w="951" w:type="dxa"/>
            <w:noWrap w:val="0"/>
            <w:vAlign w:val="center"/>
          </w:tcPr>
          <w:p>
            <w:pPr>
              <w:spacing w:line="200" w:lineRule="exact"/>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5168" w:type="dxa"/>
            <w:gridSpan w:val="7"/>
            <w:noWrap w:val="0"/>
            <w:vAlign w:val="center"/>
          </w:tcPr>
          <w:p>
            <w:pPr>
              <w:numPr>
                <w:ilvl w:val="0"/>
                <w:numId w:val="0"/>
              </w:numPr>
              <w:adjustRightInd w:val="0"/>
              <w:snapToGrid w:val="0"/>
              <w:spacing w:line="200" w:lineRule="exact"/>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说明：1、根据本清单提供的证照及资料有原件的，应核实原件后留存复印件；无原件的提供复印件。所有复印件资料均应加盖企业公章。</w:t>
            </w:r>
          </w:p>
          <w:p>
            <w:pPr>
              <w:numPr>
                <w:ilvl w:val="0"/>
                <w:numId w:val="0"/>
              </w:numPr>
              <w:adjustRightInd w:val="0"/>
              <w:snapToGrid w:val="0"/>
              <w:spacing w:line="200" w:lineRule="exact"/>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 xml:space="preserve">   </w:t>
            </w:r>
            <w:r>
              <w:rPr>
                <w:rFonts w:hint="eastAsia" w:ascii="Times New Roman" w:hAnsi="Times New Roman" w:eastAsia="仿宋_GB2312"/>
                <w:bCs/>
                <w:color w:val="auto"/>
                <w:sz w:val="18"/>
                <w:szCs w:val="18"/>
              </w:rPr>
              <w:t xml:space="preserve">      </w:t>
            </w:r>
            <w:r>
              <w:rPr>
                <w:rFonts w:ascii="Times New Roman" w:hAnsi="Times New Roman" w:eastAsia="仿宋_GB2312"/>
                <w:bCs/>
                <w:color w:val="auto"/>
                <w:sz w:val="18"/>
                <w:szCs w:val="18"/>
              </w:rPr>
              <w:t>证照及资料有正副本的，均核验留存复印件。</w:t>
            </w:r>
          </w:p>
          <w:p>
            <w:pPr>
              <w:spacing w:line="200" w:lineRule="exact"/>
              <w:ind w:firstLine="900" w:firstLineChars="5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2、其他相关证据：能够证明企业违法</w:t>
            </w:r>
            <w:r>
              <w:rPr>
                <w:rFonts w:hint="eastAsia" w:ascii="Times New Roman" w:hAnsi="Times New Roman" w:eastAsia="仿宋_GB2312"/>
                <w:bCs/>
                <w:color w:val="auto"/>
                <w:sz w:val="18"/>
                <w:szCs w:val="18"/>
              </w:rPr>
              <w:t>违规</w:t>
            </w:r>
            <w:r>
              <w:rPr>
                <w:rFonts w:ascii="Times New Roman" w:hAnsi="Times New Roman" w:eastAsia="仿宋_GB2312"/>
                <w:bCs/>
                <w:color w:val="auto"/>
                <w:sz w:val="18"/>
                <w:szCs w:val="18"/>
              </w:rPr>
              <w:t>行为的其他相关资料</w:t>
            </w:r>
            <w:r>
              <w:rPr>
                <w:rFonts w:hint="eastAsia" w:ascii="Times New Roman" w:hAnsi="Times New Roman" w:eastAsia="仿宋_GB2312"/>
                <w:bCs/>
                <w:color w:val="auto"/>
                <w:sz w:val="18"/>
                <w:szCs w:val="18"/>
              </w:rPr>
              <w:t>。</w:t>
            </w:r>
          </w:p>
        </w:tc>
      </w:tr>
    </w:tbl>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pStyle w:val="9"/>
        <w:rPr>
          <w:rFonts w:hint="eastAsia" w:ascii="仿宋_GB2312" w:hAnsi="仿宋_GB2312" w:eastAsia="仿宋_GB2312" w:cs="仿宋_GB2312"/>
          <w:b/>
          <w:color w:val="auto"/>
          <w:kern w:val="44"/>
          <w:sz w:val="30"/>
          <w:szCs w:val="30"/>
          <w:lang w:val="en-US" w:eastAsia="zh-CN" w:bidi="ar-SA"/>
        </w:rPr>
      </w:pPr>
    </w:p>
    <w:p>
      <w:pPr>
        <w:rPr>
          <w:rFonts w:hint="eastAsia" w:ascii="仿宋_GB2312" w:hAnsi="仿宋_GB2312" w:eastAsia="仿宋_GB2312" w:cs="仿宋_GB2312"/>
          <w:b/>
          <w:color w:val="auto"/>
          <w:kern w:val="44"/>
          <w:sz w:val="30"/>
          <w:szCs w:val="30"/>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color w:val="auto"/>
          <w:kern w:val="44"/>
          <w:sz w:val="30"/>
          <w:szCs w:val="30"/>
          <w:lang w:val="en-US" w:eastAsia="zh-CN" w:bidi="ar-SA"/>
        </w:rPr>
      </w:pPr>
      <w:bookmarkStart w:id="1" w:name="_Toc69374608"/>
      <w:r>
        <w:rPr>
          <w:rFonts w:hint="eastAsia" w:ascii="仿宋_GB2312" w:hAnsi="仿宋_GB2312" w:eastAsia="仿宋_GB2312" w:cs="仿宋_GB2312"/>
          <w:b/>
          <w:color w:val="auto"/>
          <w:kern w:val="44"/>
          <w:sz w:val="30"/>
          <w:szCs w:val="30"/>
          <w:lang w:val="en-US" w:eastAsia="zh-CN" w:bidi="ar-SA"/>
        </w:rPr>
        <w:t>存在有限空间作业企业</w:t>
      </w:r>
      <w:bookmarkEnd w:id="1"/>
      <w:r>
        <w:rPr>
          <w:rFonts w:hint="eastAsia" w:ascii="仿宋_GB2312" w:hAnsi="仿宋_GB2312" w:eastAsia="仿宋_GB2312" w:cs="仿宋_GB2312"/>
          <w:b/>
          <w:color w:val="auto"/>
          <w:kern w:val="44"/>
          <w:sz w:val="30"/>
          <w:szCs w:val="30"/>
          <w:lang w:val="en-US" w:eastAsia="zh-CN" w:bidi="ar-SA"/>
        </w:rPr>
        <w:t>重点检查事项清单</w:t>
      </w:r>
    </w:p>
    <w:tbl>
      <w:tblPr>
        <w:tblStyle w:val="5"/>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atLeast"/>
          <w:tblHeader/>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noWrap w:val="0"/>
            <w:vAlign w:val="center"/>
          </w:tcPr>
          <w:p>
            <w:pPr>
              <w:widowControl/>
              <w:adjustRightInd w:val="0"/>
              <w:snapToGrid w:val="0"/>
              <w:spacing w:line="200" w:lineRule="exact"/>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51" w:type="dxa"/>
            <w:noWrap w:val="0"/>
            <w:vAlign w:val="center"/>
          </w:tcPr>
          <w:p>
            <w:pPr>
              <w:widowControl/>
              <w:adjustRightInd w:val="0"/>
              <w:snapToGrid w:val="0"/>
              <w:spacing w:line="200" w:lineRule="exact"/>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0" w:hRule="atLeast"/>
          <w:jc w:val="center"/>
        </w:trPr>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5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作业场所安全警示标志设置情况</w:t>
            </w:r>
          </w:p>
        </w:tc>
        <w:tc>
          <w:tcPr>
            <w:tcW w:w="95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有限空间作业场所应设置明显的安全警示标志和警示说明</w:t>
            </w:r>
            <w:r>
              <w:rPr>
                <w:rFonts w:hint="eastAsia" w:ascii="Times New Roman" w:hAnsi="Times New Roman" w:eastAsia="仿宋_GB2312"/>
                <w:color w:val="auto"/>
                <w:kern w:val="0"/>
                <w:sz w:val="18"/>
                <w:szCs w:val="18"/>
              </w:rPr>
              <w:t>（重大隐患）</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》第三十二条</w:t>
            </w:r>
            <w:r>
              <w:rPr>
                <w:rFonts w:ascii="Times New Roman" w:hAnsi="Times New Roman" w:eastAsia="仿宋_GB2312"/>
                <w:color w:val="auto"/>
                <w:kern w:val="0"/>
                <w:sz w:val="18"/>
                <w:szCs w:val="18"/>
              </w:rPr>
              <w:t xml:space="preserve">  生产经营单位应当在有较大危险因素的生产经营场所和有关设施、设备上，设置明显的安全警示标志。</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《工贸企业有限空间作业安全管理与监督暂行规定》第十九条</w:t>
            </w:r>
            <w:r>
              <w:rPr>
                <w:rFonts w:ascii="Times New Roman" w:hAnsi="Times New Roman" w:eastAsia="仿宋_GB2312"/>
                <w:color w:val="auto"/>
                <w:kern w:val="0"/>
                <w:sz w:val="18"/>
                <w:szCs w:val="18"/>
              </w:rPr>
              <w:t xml:space="preserve">  工贸企业有限空间作业还应当符合下列要求：</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（二）设置明显的安全警示标志和警示说明；</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9.1 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9.2</w:t>
            </w:r>
            <w:r>
              <w:rPr>
                <w:rFonts w:ascii="Times New Roman" w:hAnsi="Times New Roman" w:eastAsia="仿宋_GB2312"/>
                <w:color w:val="auto"/>
                <w:kern w:val="0"/>
                <w:sz w:val="18"/>
                <w:szCs w:val="18"/>
              </w:rPr>
              <w:t>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标志牌不应设在门、窗、架等可移动的物体上，以免标志牌随母体物体相应移动，影响认读。标志牌前不得放置妨碍认读的障碍物。</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9.4 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标志牌应设置在明亮的环境中。</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9.5 </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多个标志牌在一起设置时，应按警告、禁止、指令、提示类型的顺序，先左后右、先上后下地排列。</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10.1</w:t>
            </w:r>
            <w:r>
              <w:rPr>
                <w:rFonts w:ascii="Times New Roman" w:hAnsi="Times New Roman" w:eastAsia="仿宋_GB2312"/>
                <w:color w:val="auto"/>
                <w:kern w:val="0"/>
                <w:sz w:val="18"/>
                <w:szCs w:val="18"/>
              </w:rPr>
              <w:t>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安全标志牌至少每半年检查一次，如发现有破损、变形、褪色等不符合要求时应及时修整或更换。</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《四川省安全生产条例》第二十八条</w:t>
            </w:r>
            <w:r>
              <w:rPr>
                <w:rFonts w:ascii="Times New Roman" w:hAnsi="Times New Roman" w:eastAsia="仿宋_GB2312"/>
                <w:color w:val="auto"/>
                <w:kern w:val="0"/>
                <w:sz w:val="18"/>
                <w:szCs w:val="18"/>
              </w:rPr>
              <w:t xml:space="preserve">  生产经营单位应当在具有较大危险因素的生产经营场所、设施、设备及其四周，设置符合国家标准或者行业标准的明显的安全警示标志。 </w:t>
            </w:r>
          </w:p>
        </w:tc>
        <w:tc>
          <w:tcPr>
            <w:tcW w:w="3899"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现场警示标识</w:t>
            </w:r>
            <w:r>
              <w:rPr>
                <w:rFonts w:hint="eastAsia" w:ascii="Times New Roman" w:hAnsi="Times New Roman" w:eastAsia="仿宋_GB2312"/>
                <w:color w:val="auto"/>
                <w:kern w:val="0"/>
                <w:sz w:val="18"/>
                <w:szCs w:val="18"/>
              </w:rPr>
              <w:t>情况</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（一）未在有较大危险因素的生产经营场所和有关设施、设备上设置明显的安全警示标志的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（一）未在有限空间作业场所设置明显的安全警示标志的；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作业审批制度的落实情况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制定有限空间作业方案并经审核、批准</w:t>
            </w:r>
            <w:r>
              <w:rPr>
                <w:rFonts w:hint="eastAsia" w:ascii="Times New Roman" w:hAnsi="Times New Roman" w:eastAsia="仿宋_GB2312"/>
                <w:color w:val="auto"/>
                <w:kern w:val="0"/>
                <w:sz w:val="18"/>
                <w:szCs w:val="18"/>
              </w:rPr>
              <w:t>（重大隐患）</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》第三十八条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 xml:space="preserve">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《工贸企业有限空间作业安全管理与监督暂行规定》第八条</w:t>
            </w:r>
            <w:r>
              <w:rPr>
                <w:rFonts w:ascii="Times New Roman" w:hAnsi="Times New Roman" w:eastAsia="仿宋_GB2312"/>
                <w:color w:val="auto"/>
                <w:kern w:val="0"/>
                <w:sz w:val="18"/>
                <w:szCs w:val="18"/>
              </w:rPr>
              <w:t xml:space="preserve">  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《工贸行业重大生产安全事故隐患判定标准（2017版）》</w:t>
            </w:r>
            <w:r>
              <w:rPr>
                <w:rFonts w:ascii="Times New Roman" w:hAnsi="Times New Roman" w:eastAsia="仿宋_GB2312"/>
                <w:color w:val="auto"/>
                <w:kern w:val="0"/>
                <w:sz w:val="18"/>
                <w:szCs w:val="18"/>
              </w:rPr>
              <w:t>一、专项类重大事故隐患（三）有限空间作业相关的行业领域。</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未落实作业审批制度，擅自进入有限空间作业。</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《化工和危险化学品生产经营单位重大生产安全事故隐患判定标准（试行）》十八</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未按照国家标准制定动火、进入受限空间等特殊作业管理制度，或者制度未有效执行。</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4.6</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作业前,作业单位应办理作业审批手续,并有相关责任人签名确认。</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同一作业涉及动火、进入受限空间、盲板抽堵、高处作业、吊装、临时用电、动土、断路中的两种或两种以上时,除应同时执行相应的作业要求外,还应同时办理相应的作业审批手续。</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作业时审批手续应齐全、安全措施应全部落实、作业环境应符合安全要求。作业审批手续的相关内容参见附录A 和附录B。                  </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 xml:space="preserve">   生产经营单位应当积极采用先进的工艺装备，利用有效的管理技术和手段，加强生产经营活动过程的监测监控，及时制止不安全行为和消除安全隐患，确保生产经营活动安全。</w:t>
            </w:r>
          </w:p>
        </w:tc>
        <w:tc>
          <w:tcPr>
            <w:tcW w:w="3899" w:type="dxa"/>
            <w:noWrap w:val="0"/>
            <w:vAlign w:val="center"/>
          </w:tcPr>
          <w:p>
            <w:pPr>
              <w:widowControl/>
              <w:numPr>
                <w:ilvl w:val="0"/>
                <w:numId w:val="0"/>
              </w:numPr>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有限空间作业审批手续；</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作业方案</w:t>
            </w:r>
            <w:r>
              <w:rPr>
                <w:rFonts w:hint="eastAsia"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w:t>
            </w:r>
            <w:r>
              <w:rPr>
                <w:rFonts w:hint="eastAsia" w:ascii="Times New Roman" w:hAnsi="Times New Roman" w:eastAsia="仿宋_GB2312"/>
                <w:color w:val="auto"/>
                <w:kern w:val="0"/>
                <w:sz w:val="18"/>
                <w:szCs w:val="18"/>
              </w:rPr>
              <w:t>《责令限期整改指令书》《现场处理措施决定书》等相关执法文书；</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》第九十九条</w:t>
            </w:r>
            <w:r>
              <w:rPr>
                <w:rFonts w:ascii="Times New Roman" w:hAnsi="Times New Roman" w:eastAsia="仿宋_GB2312"/>
                <w:color w:val="auto"/>
                <w:kern w:val="0"/>
                <w:sz w:val="18"/>
                <w:szCs w:val="18"/>
              </w:rPr>
              <w:t xml:space="preserve">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 xml:space="preserve">  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 xml:space="preserve">   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3"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作业现场安全管理情况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危险有害因素检测或者监测和现场专人监护</w:t>
            </w:r>
            <w:r>
              <w:rPr>
                <w:rFonts w:hint="eastAsia" w:ascii="Times New Roman" w:hAnsi="Times New Roman" w:eastAsia="仿宋_GB2312"/>
                <w:color w:val="auto"/>
                <w:kern w:val="0"/>
                <w:sz w:val="18"/>
                <w:szCs w:val="18"/>
              </w:rPr>
              <w:t>（重大隐患）</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》第四十条</w:t>
            </w:r>
            <w:r>
              <w:rPr>
                <w:rFonts w:ascii="Times New Roman" w:hAnsi="Times New Roman" w:eastAsia="仿宋_GB2312"/>
                <w:color w:val="auto"/>
                <w:kern w:val="0"/>
                <w:sz w:val="18"/>
                <w:szCs w:val="18"/>
              </w:rPr>
              <w:t xml:space="preserve">  生产经营单位进行爆破、吊装以及国务院安全生产监督管理部门会同国务院有关部门规定的其他危险作业，应当安排专门人员进行现场安全管理，确保操作规程的遵守和安全措施的落实。</w:t>
            </w:r>
          </w:p>
          <w:p>
            <w:pPr>
              <w:widowControl/>
              <w:adjustRightInd w:val="0"/>
              <w:snapToGrid w:val="0"/>
              <w:spacing w:line="200" w:lineRule="exact"/>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 xml:space="preserve">《工贸企业有限空间作业安全管理与监督暂行规定》第九条  </w:t>
            </w:r>
            <w:r>
              <w:rPr>
                <w:rFonts w:hint="eastAsia" w:ascii="Times New Roman" w:hAnsi="Times New Roman" w:eastAsia="仿宋_GB2312"/>
                <w:color w:val="auto"/>
                <w:kern w:val="0"/>
                <w:sz w:val="18"/>
                <w:szCs w:val="18"/>
              </w:rPr>
              <w:t>工贸企业应当按照有限空间作业方案，明确作业现场负责人、监护人员、作业人员及其安全职责。</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《工贸企业有限空间作业安全管理与监督暂行规定》第十五条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在有限空间作业过程中，工贸企业应当采取通风措施，保持空气流通，禁止采用纯氧通风换气。</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发现通风设备停止运转、有限空间内氧含量浓度低于或者有毒有害气体浓度高于国家标准或者行业标准规定的限值时，工贸企业必须立即停止有限空间作业，清点作业人员，撤离作业现场。</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《工贸企业有限空间作业安全管理与监督暂行规定》第十六条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在有限空间作业过程中，工贸企业应当对作业场所中的危险有害因素进行定时检测或者连续监测。</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作业中断超过30分钟，作业人员再次进入有限空间作业前，应当重新通风、检测合格后方可进入。</w:t>
            </w:r>
          </w:p>
          <w:p>
            <w:pPr>
              <w:pStyle w:val="9"/>
              <w:keepNext w:val="0"/>
              <w:keepLines w:val="0"/>
              <w:pageBreakBefore w:val="0"/>
              <w:kinsoku/>
              <w:wordWrap/>
              <w:overflowPunct/>
              <w:topLinePunct w:val="0"/>
              <w:autoSpaceDE/>
              <w:autoSpaceDN/>
              <w:bidi w:val="0"/>
              <w:spacing w:line="180" w:lineRule="exact"/>
              <w:ind w:firstLine="361"/>
              <w:textAlignment w:val="auto"/>
              <w:outlineLvl w:val="9"/>
              <w:rPr>
                <w:rFonts w:ascii="Times New Roman" w:hAnsi="Times New Roman"/>
                <w:b/>
                <w:bCs/>
                <w:color w:val="auto"/>
                <w:kern w:val="0"/>
                <w:sz w:val="18"/>
                <w:szCs w:val="18"/>
              </w:rPr>
            </w:pPr>
            <w:r>
              <w:rPr>
                <w:rFonts w:ascii="Times New Roman" w:hAnsi="Times New Roman"/>
                <w:b/>
                <w:bCs/>
                <w:color w:val="auto"/>
                <w:kern w:val="0"/>
                <w:sz w:val="18"/>
                <w:szCs w:val="18"/>
              </w:rPr>
              <w:t>第十九条  工贸企业有限空间作业还应当符合下列要求：……</w:t>
            </w:r>
          </w:p>
          <w:p>
            <w:pPr>
              <w:pStyle w:val="9"/>
              <w:keepNext w:val="0"/>
              <w:keepLines w:val="0"/>
              <w:pageBreakBefore w:val="0"/>
              <w:kinsoku/>
              <w:wordWrap/>
              <w:overflowPunct/>
              <w:topLinePunct w:val="0"/>
              <w:autoSpaceDE/>
              <w:autoSpaceDN/>
              <w:bidi w:val="0"/>
              <w:spacing w:line="180" w:lineRule="exact"/>
              <w:ind w:firstLine="0" w:firstLineChars="0"/>
              <w:textAlignment w:val="auto"/>
              <w:outlineLvl w:val="9"/>
              <w:rPr>
                <w:rFonts w:ascii="Times New Roman" w:hAnsi="Times New Roman"/>
                <w:bCs/>
                <w:color w:val="auto"/>
                <w:kern w:val="0"/>
                <w:sz w:val="18"/>
                <w:szCs w:val="18"/>
              </w:rPr>
            </w:pPr>
            <w:r>
              <w:rPr>
                <w:rFonts w:hint="eastAsia" w:ascii="Times New Roman" w:hAnsi="Times New Roman"/>
                <w:bCs/>
                <w:color w:val="auto"/>
                <w:kern w:val="0"/>
                <w:sz w:val="18"/>
                <w:szCs w:val="18"/>
              </w:rPr>
              <w:t>（五）监护人员不得离开作业现场，并与作业人员保持联系；</w:t>
            </w:r>
            <w:r>
              <w:rPr>
                <w:rFonts w:ascii="Times New Roman" w:hAnsi="Times New Roman"/>
                <w:bCs/>
                <w:color w:val="auto"/>
                <w:kern w:val="0"/>
                <w:sz w:val="18"/>
                <w:szCs w:val="18"/>
              </w:rPr>
              <w:t>……</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作业监护要求如下:</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在受限空间外应设有专人监护,作业期间监护人员不应离开;</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在风险较大的受限空间作业时,应增设监护人员,并随时与受限空间内作业人员保持联络。</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《四川省安全生产条例》第三十五条</w:t>
            </w:r>
            <w:r>
              <w:rPr>
                <w:rFonts w:ascii="Times New Roman" w:hAnsi="Times New Roman" w:eastAsia="仿宋_GB2312"/>
                <w:color w:val="auto"/>
                <w:kern w:val="0"/>
                <w:sz w:val="18"/>
                <w:szCs w:val="18"/>
              </w:rPr>
              <w:t xml:space="preserve">    从事起重、爆破、登高架设、基坑开挖、边坡砌筑、钻探等危险作业应当事先制定安全措施，并由生产经营单位安排专人现场监护，确保遵守操作安全规程和落实安全措施。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危险作业目录由省安全生产监督管理部门确定并发布。</w:t>
            </w:r>
          </w:p>
        </w:tc>
        <w:tc>
          <w:tcPr>
            <w:tcW w:w="3899" w:type="dxa"/>
            <w:noWrap w:val="0"/>
            <w:vAlign w:val="center"/>
          </w:tcPr>
          <w:p>
            <w:pPr>
              <w:widowControl/>
              <w:numPr>
                <w:ilvl w:val="0"/>
                <w:numId w:val="0"/>
              </w:numPr>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有限空间作业时环境监测数据；</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作业人、监护人、审批人签字情况</w:t>
            </w:r>
            <w:r>
              <w:rPr>
                <w:rFonts w:hint="eastAsia"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》第九十八条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Times New Roman" w:hAnsi="Times New Roman" w:eastAsia="仿宋_GB2312"/>
                <w:color w:val="auto"/>
                <w:kern w:val="0"/>
                <w:sz w:val="18"/>
                <w:szCs w:val="18"/>
              </w:rPr>
              <w:t xml:space="preserve">...... </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(三)进行爆破、吊装以及国务院安全生产监督管理部门会同国务院有关部门规定的其他危险作业，未安排专门人员进行现场安全管理的</w:t>
            </w:r>
            <w:r>
              <w:rPr>
                <w:rFonts w:hint="eastAsia" w:ascii="Times New Roman" w:hAnsi="Times New Roman" w:eastAsia="仿宋_GB2312"/>
                <w:color w:val="auto"/>
                <w:kern w:val="0"/>
                <w:sz w:val="18"/>
                <w:szCs w:val="18"/>
              </w:rPr>
              <w:t xml:space="preserve">；...... </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 xml:space="preserve"> 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《四川省安全生产条例》第七十条</w:t>
            </w:r>
            <w:r>
              <w:rPr>
                <w:rFonts w:ascii="Times New Roman" w:hAnsi="Times New Roman" w:eastAsia="仿宋_GB2312"/>
                <w:color w:val="auto"/>
                <w:kern w:val="0"/>
                <w:sz w:val="18"/>
                <w:szCs w:val="18"/>
              </w:rPr>
              <w:t xml:space="preserve">  生产经营单位违反本条例第二十七条、第二十九条第一款、第三十五条规定的，责令限期改正，可并处2万元以上10万元以下的罚款；逾期未改正的，责令停产停业整顿。</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332" w:hRule="atLeast"/>
          <w:jc w:val="center"/>
        </w:trPr>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9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有限空间作业安全管理规章制度和操作规程情况</w:t>
            </w:r>
          </w:p>
        </w:tc>
        <w:tc>
          <w:tcPr>
            <w:tcW w:w="95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是否建立有限空间作业安全管理规章制度和操作规程</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》第十八条</w:t>
            </w:r>
            <w:r>
              <w:rPr>
                <w:rFonts w:ascii="Times New Roman" w:hAnsi="Times New Roman" w:eastAsia="仿宋_GB2312"/>
                <w:color w:val="auto"/>
                <w:kern w:val="0"/>
                <w:sz w:val="18"/>
                <w:szCs w:val="18"/>
              </w:rPr>
              <w:t xml:space="preserve">   生产经营单位的主要负责人对本单位安全生产工作负有下列职责：</w:t>
            </w:r>
            <w:r>
              <w:rPr>
                <w:rFonts w:hint="eastAsia" w:ascii="Times New Roman" w:hAnsi="Times New Roman" w:eastAsia="仿宋_GB2312"/>
                <w:color w:val="auto"/>
                <w:kern w:val="0"/>
                <w:sz w:val="18"/>
                <w:szCs w:val="18"/>
              </w:rPr>
              <w:t xml:space="preserve">...... </w:t>
            </w:r>
          </w:p>
          <w:p>
            <w:pPr>
              <w:keepNext w:val="0"/>
              <w:keepLines w:val="0"/>
              <w:pageBreakBefore w:val="0"/>
              <w:widowControl/>
              <w:kinsoku/>
              <w:wordWrap/>
              <w:overflowPunct/>
              <w:topLinePunct w:val="0"/>
              <w:autoSpaceDE/>
              <w:autoSpaceDN/>
              <w:bidi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(二)组织制定本单位安全生产规章制度和操作规程</w:t>
            </w:r>
            <w:r>
              <w:rPr>
                <w:rFonts w:hint="eastAsia" w:ascii="Times New Roman" w:hAnsi="Times New Roman" w:eastAsia="仿宋_GB2312"/>
                <w:color w:val="auto"/>
                <w:kern w:val="0"/>
                <w:sz w:val="18"/>
                <w:szCs w:val="18"/>
              </w:rPr>
              <w:t xml:space="preserve">；...... </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《工贸企业有限空间作业安全管理与监督暂行规定》第五条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存在有限空间作业的工贸企业应当建立下列安全生产制度和规程：</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（一）有限空间作业安全责任制度；</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（二）有限空间作业审批制度；</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（三）有限空间作业现场安全管理制度；</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（四）有限空间作业现场负责人、监护人员、作业人员、应急救援人员安全培训教育制度；</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（五）有限空间作业应急管理制度；</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（六）有限空间作业安全操作规程。</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《四川省安全生产条例》第十四条 </w:t>
            </w:r>
            <w:r>
              <w:rPr>
                <w:rFonts w:ascii="Times New Roman" w:hAnsi="Times New Roman" w:eastAsia="仿宋_GB2312"/>
                <w:color w:val="auto"/>
                <w:kern w:val="0"/>
                <w:sz w:val="18"/>
                <w:szCs w:val="18"/>
              </w:rPr>
              <w:t xml:space="preserve">   生产经营单位主要负责人应当履行下列安全生产职责</w:t>
            </w:r>
            <w:r>
              <w:rPr>
                <w:rFonts w:hint="eastAsia" w:ascii="Times New Roman" w:hAnsi="Times New Roman" w:eastAsia="仿宋_GB2312"/>
                <w:color w:val="auto"/>
                <w:kern w:val="0"/>
                <w:sz w:val="18"/>
                <w:szCs w:val="18"/>
              </w:rPr>
              <w:t xml:space="preserve">：...... </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（二）建立健全和落实本单位安全生产责任制、安全生产规章制度及安全技术操作规程；</w:t>
            </w:r>
            <w:r>
              <w:rPr>
                <w:rFonts w:hint="eastAsia" w:ascii="Times New Roman" w:hAnsi="Times New Roman" w:eastAsia="仿宋_GB2312"/>
                <w:color w:val="auto"/>
                <w:kern w:val="0"/>
                <w:sz w:val="18"/>
                <w:szCs w:val="18"/>
              </w:rPr>
              <w:t xml:space="preserve">...... </w:t>
            </w:r>
          </w:p>
        </w:tc>
        <w:tc>
          <w:tcPr>
            <w:tcW w:w="3899"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有限空间作业安全管理制度和规程制定情况</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》第九十一条</w:t>
            </w:r>
            <w:r>
              <w:rPr>
                <w:rFonts w:ascii="Times New Roman" w:hAnsi="Times New Roman" w:eastAsia="仿宋_GB2312"/>
                <w:color w:val="auto"/>
                <w:kern w:val="0"/>
                <w:sz w:val="18"/>
                <w:szCs w:val="18"/>
              </w:rPr>
              <w:t xml:space="preserve">  生产经营单位的主要负责人未履行本法规定的安全生产管理职责的，责令限期改正；逾期未改正的，处二万元以上五万元以下的罚款，责令生产经营单位停产停业整顿。</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《四川省安全生产条例》第六十六条</w:t>
            </w:r>
            <w:r>
              <w:rPr>
                <w:rFonts w:ascii="Times New Roman" w:hAnsi="Times New Roman" w:eastAsia="仿宋_GB2312"/>
                <w:color w:val="auto"/>
                <w:kern w:val="0"/>
                <w:sz w:val="18"/>
                <w:szCs w:val="18"/>
              </w:rPr>
              <w:t xml:space="preserve">    生产经营单位主要负责人违反本条例第十四条规定的，责令限期改正；逾期未改正的，责令生产经营单位停产停业整顿。</w:t>
            </w:r>
          </w:p>
        </w:tc>
        <w:tc>
          <w:tcPr>
            <w:tcW w:w="95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有限空间作业开展培训并记录情况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是否对有限空间作业开展培训并记录</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》第二十五条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《工贸企业有限空间作业安全管理与监督暂行规定》第六条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工贸企业应当对从事有限空间作业的现场负责人、监护人员、作业人员、应急救援人员进行专项安全培训。专项安全培训应当包括下列内容:</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（一）有限空间作业的危险有害因素和安全防范措施；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（二）有限空间作业的安全操作规程；</w:t>
            </w:r>
          </w:p>
          <w:p>
            <w:pPr>
              <w:widowControl/>
              <w:adjustRightInd w:val="0"/>
              <w:snapToGrid w:val="0"/>
              <w:spacing w:line="200" w:lineRule="exact"/>
              <w:ind w:firstLine="360" w:firstLineChars="200"/>
              <w:rPr>
                <w:rFonts w:ascii="Times New Roman" w:hAnsi="Times New Roman" w:eastAsia="仿宋_GB2312"/>
                <w:color w:val="auto"/>
                <w:spacing w:val="-6"/>
                <w:kern w:val="0"/>
                <w:sz w:val="18"/>
                <w:szCs w:val="18"/>
              </w:rPr>
            </w:pPr>
            <w:r>
              <w:rPr>
                <w:rFonts w:ascii="Times New Roman" w:hAnsi="Times New Roman" w:eastAsia="仿宋_GB2312"/>
                <w:color w:val="auto"/>
                <w:kern w:val="0"/>
                <w:sz w:val="18"/>
                <w:szCs w:val="18"/>
              </w:rPr>
              <w:t>（三）</w:t>
            </w:r>
            <w:r>
              <w:rPr>
                <w:rFonts w:ascii="Times New Roman" w:hAnsi="Times New Roman" w:eastAsia="仿宋_GB2312"/>
                <w:color w:val="auto"/>
                <w:spacing w:val="-6"/>
                <w:kern w:val="0"/>
                <w:sz w:val="18"/>
                <w:szCs w:val="18"/>
              </w:rPr>
              <w:t>检测仪器、劳动防护用品的正确使用；</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（四）紧急情况下的应急处置措施。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安全培训应当有专门记录，并由参加培训的人员签字确认。</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30871-2014）4.2</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作业前，应对参加作业的人员进行安全教育，主要内容如下：</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a）有关作业的安全规章制度；</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b）作业现场和作业过程中可能存在的危险、有害因素及应采取的具体安全措施；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c）作业过程中所使用的个体防护器具的使用方法及使用注意事项；</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d）事故的预防、避险、逃生、自救、互救等知识；</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e）相关事故案例和经验、教训。</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《四川省安全生产条例》第二十一条 </w:t>
            </w:r>
            <w:r>
              <w:rPr>
                <w:rFonts w:ascii="Times New Roman" w:hAnsi="Times New Roman" w:eastAsia="仿宋_GB2312"/>
                <w:color w:val="auto"/>
                <w:kern w:val="0"/>
                <w:sz w:val="18"/>
                <w:szCs w:val="18"/>
              </w:rPr>
              <w:t xml:space="preserve">  危险性较大的生产经营单位主要负责人和安全生产管理人员，应当依照国家和省的规定进行培训考核，取得统一的安全合格证书后，方可任职。</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生产经营单位应当依照国家和省的规定对从业人员进行安全生产教育和培训，建立规范的从业人员培训教育档案，未经教育培训合格的人员不得上岗作业。</w:t>
            </w:r>
            <w:r>
              <w:rPr>
                <w:rFonts w:hint="eastAsia" w:ascii="Times New Roman" w:hAnsi="Times New Roman" w:eastAsia="仿宋_GB2312"/>
                <w:color w:val="auto"/>
                <w:kern w:val="0"/>
                <w:sz w:val="18"/>
                <w:szCs w:val="18"/>
              </w:rPr>
              <w:t>......</w:t>
            </w:r>
          </w:p>
        </w:tc>
        <w:tc>
          <w:tcPr>
            <w:tcW w:w="3899" w:type="dxa"/>
            <w:noWrap w:val="0"/>
            <w:vAlign w:val="center"/>
          </w:tcPr>
          <w:p>
            <w:pPr>
              <w:widowControl/>
              <w:numPr>
                <w:ilvl w:val="0"/>
                <w:numId w:val="0"/>
              </w:numPr>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有限空间培训记录，如制度培训、作业培训、应急救援培训等；</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培训签到表</w:t>
            </w:r>
            <w:r>
              <w:rPr>
                <w:rFonts w:hint="eastAsia"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（4）培训计划和培训资料；</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color w:val="auto"/>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spacing w:line="200" w:lineRule="exact"/>
              <w:rPr>
                <w:rFonts w:ascii="Times New Roman" w:hAnsi="Times New Roman" w:eastAsia="仿宋_GB2312"/>
                <w:color w:val="auto"/>
                <w:kern w:val="0"/>
                <w:sz w:val="18"/>
                <w:szCs w:val="18"/>
              </w:rPr>
            </w:pP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widowControl/>
              <w:adjustRightInd w:val="0"/>
              <w:snapToGrid w:val="0"/>
              <w:spacing w:line="200" w:lineRule="exact"/>
              <w:rPr>
                <w:rFonts w:ascii="Times New Roman" w:hAnsi="Times New Roman" w:eastAsia="仿宋_GB2312"/>
                <w:color w:val="auto"/>
                <w:kern w:val="0"/>
                <w:sz w:val="18"/>
                <w:szCs w:val="18"/>
              </w:rPr>
            </w:pP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Pr>
                <w:rFonts w:hint="eastAsia" w:ascii="Times New Roman" w:hAnsi="Times New Roman" w:eastAsia="仿宋_GB2312"/>
                <w:color w:val="auto"/>
                <w:kern w:val="0"/>
                <w:sz w:val="18"/>
                <w:szCs w:val="18"/>
              </w:rPr>
              <w:t xml:space="preserve">...... </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（四）未如实记录安全生产教育和培训情况的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《工贸企业有限空间作业安全管理与监督暂行规定》第二十九条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（一）未按照本规定对有限空间的现场负责人、监护人员、作业人员和应急救援人员进行安全培训的</w:t>
            </w:r>
            <w:r>
              <w:rPr>
                <w:rFonts w:hint="eastAsia" w:ascii="Times New Roman" w:hAnsi="Times New Roman" w:eastAsia="仿宋_GB2312"/>
                <w:color w:val="auto"/>
                <w:kern w:val="0"/>
                <w:sz w:val="18"/>
                <w:szCs w:val="18"/>
              </w:rPr>
              <w:t xml:space="preserve">；...... </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 xml:space="preserve">   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p>
        </w:tc>
        <w:tc>
          <w:tcPr>
            <w:tcW w:w="9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有限空间管理台账和辨识情况</w:t>
            </w:r>
          </w:p>
        </w:tc>
        <w:tc>
          <w:tcPr>
            <w:tcW w:w="95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是否建立有限空间管理台账，开展有针对性辨识（一点一档）</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》第三十八条</w:t>
            </w:r>
            <w:r>
              <w:rPr>
                <w:rFonts w:hint="eastAsia" w:ascii="Times New Roman" w:hAnsi="Times New Roman" w:eastAsia="仿宋_GB2312"/>
                <w:b/>
                <w:bCs/>
                <w:color w:val="auto"/>
                <w:kern w:val="0"/>
                <w:sz w:val="18"/>
                <w:szCs w:val="18"/>
              </w:rPr>
              <w:t>第一款</w:t>
            </w:r>
            <w:r>
              <w:rPr>
                <w:rFonts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 xml:space="preserve">   生产经营单位应当建立健全生产安全事故隐患排查治理制度，采取技术、管理措施，及时发现并消除事故隐患。事故隐患排查治理情况应当如实记录，并向从业人员通报。</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《工贸企业有限空间作业安全管理与监督暂行规定》第七条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《化学品生产单位特殊作业安全规范》（GB 30871-2014）4.1  </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 xml:space="preserve">   生产经营单位应当积极采用先进的工艺装备，利用有效的管理技术和手段，加强生产经营活动过程的监测监控，及时制止不安全行为和消除安全隐患，确保生产经营活动安全。</w:t>
            </w:r>
          </w:p>
        </w:tc>
        <w:tc>
          <w:tcPr>
            <w:tcW w:w="3899"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有限空间辨识台账；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》第九十八条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Times New Roman" w:hAnsi="Times New Roman" w:eastAsia="仿宋_GB2312"/>
                <w:color w:val="auto"/>
                <w:kern w:val="0"/>
                <w:sz w:val="18"/>
                <w:szCs w:val="18"/>
              </w:rPr>
              <w:t xml:space="preserve">...... </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(四)未建立事故隐患排查治理制度的。</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 xml:space="preserve"> 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 xml:space="preserve">...... </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（一）未按照本规定对有限空间作业进行辨识、提出防范措施、建立有限空间管理台账的；...... </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 xml:space="preserve">   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493"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应急预案制定演练情况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是否编制有限空间应急预案，并进行演练和记录</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》第七十八条</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《工贸企业有限空间作业安全管理与监督暂行规定》第二十一条</w:t>
            </w:r>
            <w:r>
              <w:rPr>
                <w:rFonts w:ascii="Times New Roman" w:hAnsi="Times New Roman" w:eastAsia="仿宋_GB2312"/>
                <w:color w:val="auto"/>
                <w:kern w:val="0"/>
                <w:sz w:val="18"/>
                <w:szCs w:val="18"/>
              </w:rPr>
              <w:t xml:space="preserve">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《生产安全事故应急预案管理办法》第十二条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生产经营单位应当根据有关法律、法规、规章和相关标准，结合本单位组织管理体系、生产规模和可能发生的事故特点，</w:t>
            </w:r>
            <w:r>
              <w:rPr>
                <w:rFonts w:hint="eastAsia" w:ascii="Times New Roman" w:hAnsi="Times New Roman" w:eastAsia="仿宋_GB2312"/>
                <w:color w:val="auto"/>
                <w:kern w:val="0"/>
                <w:sz w:val="18"/>
                <w:szCs w:val="18"/>
              </w:rPr>
              <w:t>与相关预案保持衔接，</w:t>
            </w:r>
            <w:r>
              <w:rPr>
                <w:rFonts w:ascii="Times New Roman" w:hAnsi="Times New Roman" w:eastAsia="仿宋_GB2312"/>
                <w:color w:val="auto"/>
                <w:kern w:val="0"/>
                <w:sz w:val="18"/>
                <w:szCs w:val="18"/>
              </w:rPr>
              <w:t>确立本单位的应急预案体系，编制相应的应急预案，并体现自救互救和先期处置等特点。</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《生产安全事故应急预案管理办法》第三十三条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 xml:space="preserve">  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《四川省安全生产条例》第六十一条</w:t>
            </w:r>
            <w:r>
              <w:rPr>
                <w:rFonts w:ascii="Times New Roman" w:hAnsi="Times New Roman" w:eastAsia="仿宋_GB2312"/>
                <w:color w:val="auto"/>
                <w:kern w:val="0"/>
                <w:sz w:val="18"/>
                <w:szCs w:val="18"/>
              </w:rPr>
              <w:t xml:space="preserve">    </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生产经营单位应当根据危险源辨识、生产经营活动风险评估，制定本单位的事故应急救援预案，建立事故应急救援体系，落实应急救援措施并定期组织演练。</w:t>
            </w:r>
          </w:p>
        </w:tc>
        <w:tc>
          <w:tcPr>
            <w:tcW w:w="3899"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是否有专项应急预案或针对性的处置方案；</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演练情况（照片等）和演练记录；</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应急救援器材配备情况</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》第九十四条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(六)未按照规定制定生产安全事故应急救援预案或者未定期组织演练的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《工贸企业有限空间作业安全管理与监督暂行规定》第二十九条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（二）未按照本规定对有限空间作业制定应急预案，或者定期进行演练的。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《生产安全事故应急预案管理办法》第四十四条</w:t>
            </w:r>
            <w:r>
              <w:rPr>
                <w:rFonts w:ascii="Times New Roman" w:hAnsi="Times New Roman" w:eastAsia="仿宋_GB2312"/>
                <w:color w:val="auto"/>
                <w:kern w:val="0"/>
                <w:sz w:val="18"/>
                <w:szCs w:val="18"/>
              </w:rPr>
              <w:t>  生产经营单位有下列情形之一的，由县级以上</w:t>
            </w:r>
            <w:r>
              <w:rPr>
                <w:rFonts w:hint="eastAsia" w:ascii="Times New Roman" w:hAnsi="Times New Roman" w:eastAsia="仿宋_GB2312"/>
                <w:color w:val="auto"/>
                <w:kern w:val="0"/>
                <w:sz w:val="18"/>
                <w:szCs w:val="18"/>
              </w:rPr>
              <w:t>人民政府应急管理等部门</w:t>
            </w:r>
            <w:r>
              <w:rPr>
                <w:rFonts w:ascii="Times New Roman" w:hAnsi="Times New Roman" w:eastAsia="仿宋_GB2312"/>
                <w:color w:val="auto"/>
                <w:kern w:val="0"/>
                <w:sz w:val="18"/>
                <w:szCs w:val="18"/>
              </w:rPr>
              <w:t>依照《</w:t>
            </w:r>
            <w:r>
              <w:rPr>
                <w:rFonts w:hint="eastAsia" w:ascii="Times New Roman" w:hAnsi="Times New Roman" w:eastAsia="仿宋_GB2312"/>
                <w:color w:val="auto"/>
                <w:kern w:val="0"/>
                <w:sz w:val="18"/>
                <w:szCs w:val="18"/>
              </w:rPr>
              <w:t>中华人民共和国安全生产法</w:t>
            </w:r>
            <w:r>
              <w:rPr>
                <w:rFonts w:ascii="Times New Roman" w:hAnsi="Times New Roman" w:eastAsia="仿宋_GB2312"/>
                <w:color w:val="auto"/>
                <w:kern w:val="0"/>
                <w:sz w:val="18"/>
                <w:szCs w:val="18"/>
              </w:rPr>
              <w:t>》第九十四条的规定，责令限期改正，可以处5万元以下罚款；逾期未改正的，责令停产停业整顿，并处5万元以上10万元以下罚款，对直接负责的主管人员和其他直接责任人员处1万元以上2万元以下的罚款：</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（一）未按照规定编制应急预案的；</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（二）未按照规定定期组织应急预案演练的。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 xml:space="preserve">   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495"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承包方资质和签订的协议情况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检查承包方资质和签订的协议</w:t>
            </w: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》第四十六条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《工贸企业有限空间作业安全管理与监督暂行规定》第二十二条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工贸企业对其发包的有限空间作业安全承担主体责任。承包方对其承包的有限空间作业安全承担直接责任。</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《四川省安全生产条例》第二十三条</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的承包租赁活动应当符合法律法规的规定，不得将生产经营的项目及有关业务转交给不具备安全生产条件的单位或个人，不得将不具备安全生产条件的场所、设备、设施出租给他人使用，生产经营单位也不得租赁使用不具备安全生产条件的场所、设备、设施。</w:t>
            </w:r>
          </w:p>
        </w:tc>
        <w:tc>
          <w:tcPr>
            <w:tcW w:w="3899"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签订的协议书；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承包方资质</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p>
        </w:tc>
        <w:tc>
          <w:tcPr>
            <w:tcW w:w="389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》第一百条</w:t>
            </w:r>
            <w:r>
              <w:rPr>
                <w:rFonts w:ascii="Times New Roman" w:hAnsi="Times New Roman" w:eastAsia="仿宋_GB2312"/>
                <w:color w:val="auto"/>
                <w:kern w:val="0"/>
                <w:sz w:val="18"/>
                <w:szCs w:val="18"/>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 xml:space="preserve">   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noWrap w:val="0"/>
            <w:vAlign w:val="center"/>
          </w:tcPr>
          <w:p>
            <w:pPr>
              <w:widowControl/>
              <w:adjustRightInd w:val="0"/>
              <w:snapToGrid w:val="0"/>
              <w:spacing w:line="20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950"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为作业人员提供劳动防护用品情况</w:t>
            </w:r>
          </w:p>
        </w:tc>
        <w:tc>
          <w:tcPr>
            <w:tcW w:w="951" w:type="dxa"/>
            <w:noWrap w:val="0"/>
            <w:vAlign w:val="center"/>
          </w:tcPr>
          <w:p>
            <w:pPr>
              <w:widowControl/>
              <w:adjustRightInd w:val="0"/>
              <w:snapToGrid w:val="0"/>
              <w:spacing w:line="20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应当根据有限空间存在危险有害因素的种类和危害程度，为作业人员提供符合国家标准或者行业标准规定的劳动防护用品。</w:t>
            </w: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》第四十二条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生产经营单位必须为从业人员提供符合国家标准或者行业标准的劳动防护用品，并监督、教育从业人员按照使用规则佩戴、使用。                      </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《工贸企业有限空间作业安全管理与监督暂行规定》第十八条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工贸企业应当根据有限空间存在危险有害因素的种类和危害程度，为作业人员提供符合国家标准或者行业标准规定的劳动防护用品，并教育监督作业人员正确佩戴与使用。</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30871-2014）6.5</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进入下列受限空间作业应采取如下防护措施: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缺氧或有毒的受限空间经清洗或置换仍达不到6.2要求的,应佩戴隔绝式呼吸器,必要时应拴带救生绳;</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易燃易爆的受限空间经清洗或置换仍达不到6.2要求的,应穿防静电工作服及防静电工作鞋,使用防爆型低压灯具及防爆工具;</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 酸碱等腐蚀性介质的受限空间,应穿戴防酸碱防护服、防护鞋、防护手套等防腐蚀护品;</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 有噪声产生的受限空间,应配戴耳塞或耳罩等防噪声护具;</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 有粉尘产生的受限空间,应配戴防尘口罩、眼罩等防尘护具;</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f) 高温的受限空间,进入时应穿戴高温防护用品,必要时采取通风、隔热、佩戴通讯设备等防护措施;</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g) 低温的受限空间,进入时应穿戴低温防护用品,必要时采取供暖、佩戴通讯设备等措施。</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《四川省安全生产条例》第三十四条 </w:t>
            </w:r>
            <w:r>
              <w:rPr>
                <w:rFonts w:ascii="Times New Roman" w:hAnsi="Times New Roman" w:eastAsia="仿宋_GB2312"/>
                <w:color w:val="auto"/>
                <w:kern w:val="0"/>
                <w:sz w:val="18"/>
                <w:szCs w:val="18"/>
              </w:rPr>
              <w:t xml:space="preserve">   </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生产经营单位应当按照规定免费为从业人员提供符合国家标准或者行业标准的劳动防护用品、用具，并教育、督促从业人员正确佩戴、使用。生产经营单位不得以现金或者其他物品替代劳动防护用品、用具。</w:t>
            </w:r>
          </w:p>
        </w:tc>
        <w:tc>
          <w:tcPr>
            <w:tcW w:w="3899" w:type="dxa"/>
            <w:noWrap w:val="0"/>
            <w:vAlign w:val="center"/>
          </w:tcPr>
          <w:p>
            <w:pPr>
              <w:widowControl/>
              <w:numPr>
                <w:ilvl w:val="0"/>
                <w:numId w:val="0"/>
              </w:numPr>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（2）劳动防护用品购置清单和相关合格证明</w:t>
            </w:r>
            <w:r>
              <w:rPr>
                <w:rFonts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员工领取劳动防护用品原始记录或台账；</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作业现场员工佩戴使用劳动防护用品图片或影像资料</w:t>
            </w:r>
            <w:r>
              <w:rPr>
                <w:rFonts w:hint="eastAsia"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spacing w:line="200" w:lineRule="exac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c>
          <w:tcPr>
            <w:tcW w:w="389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生产经营单位有下列行为之一的，责令限期改正，可以处五万元以下的罚款;逾期未改正的，处五万元以上二十万元以下的罚款，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(四)未为从业人员提供符合国家标准或者行业标准的劳动防护用品的</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Fonts w:hint="eastAsia" w:ascii="Times New Roman" w:hAnsi="Times New Roman" w:eastAsia="仿宋_GB2312"/>
                <w:color w:val="auto"/>
                <w:kern w:val="0"/>
                <w:sz w:val="18"/>
                <w:szCs w:val="18"/>
              </w:rPr>
              <w:t>......</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（二）未按照本规定为作业人员提供符合国家标准或者行业标准的劳动防护用品的。</w:t>
            </w:r>
          </w:p>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 xml:space="preserve">      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15165" w:type="dxa"/>
            <w:gridSpan w:val="7"/>
            <w:noWrap w:val="0"/>
            <w:vAlign w:val="center"/>
          </w:tcPr>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 证照及资料有正副本的，均核验留存复印件。</w:t>
            </w:r>
          </w:p>
          <w:p>
            <w:pPr>
              <w:widowControl/>
              <w:adjustRightInd w:val="0"/>
              <w:snapToGrid w:val="0"/>
              <w:spacing w:line="200" w:lineRule="exact"/>
              <w:ind w:firstLine="900" w:firstLineChars="5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2、其他相关证据：能够证明企业违法违规行为的其他相关资料。</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p>
        </w:tc>
      </w:tr>
    </w:tbl>
    <w:p>
      <w:pPr>
        <w:pStyle w:val="9"/>
        <w:ind w:left="0" w:leftChars="0" w:firstLine="0" w:firstLineChars="0"/>
        <w:rPr>
          <w:rFonts w:hint="eastAsia"/>
          <w:lang w:eastAsia="zh-CN"/>
        </w:rPr>
      </w:pPr>
      <w:bookmarkStart w:id="2" w:name="_Toc69374612"/>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outlineLvl w:val="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（四）建材企业重点</w:t>
      </w:r>
      <w:r>
        <w:rPr>
          <w:rFonts w:hint="eastAsia" w:ascii="仿宋_GB2312" w:hAnsi="仿宋_GB2312" w:eastAsia="仿宋_GB2312" w:cs="仿宋_GB2312"/>
          <w:color w:val="auto"/>
          <w:sz w:val="30"/>
          <w:szCs w:val="30"/>
        </w:rPr>
        <w:t>检查</w:t>
      </w:r>
      <w:r>
        <w:rPr>
          <w:rFonts w:hint="eastAsia" w:ascii="仿宋_GB2312" w:hAnsi="仿宋_GB2312" w:eastAsia="仿宋_GB2312" w:cs="仿宋_GB2312"/>
          <w:color w:val="auto"/>
          <w:sz w:val="30"/>
          <w:szCs w:val="30"/>
          <w:lang w:eastAsia="zh-CN"/>
        </w:rPr>
        <w:t>事项</w:t>
      </w:r>
      <w:r>
        <w:rPr>
          <w:rFonts w:hint="eastAsia" w:ascii="仿宋_GB2312" w:hAnsi="仿宋_GB2312" w:eastAsia="仿宋_GB2312" w:cs="仿宋_GB2312"/>
          <w:color w:val="auto"/>
          <w:sz w:val="30"/>
          <w:szCs w:val="30"/>
        </w:rPr>
        <w:t>清单</w:t>
      </w:r>
      <w:bookmarkEnd w:id="2"/>
    </w:p>
    <w:tbl>
      <w:tblPr>
        <w:tblStyle w:val="6"/>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601"/>
        <w:gridCol w:w="1175"/>
        <w:gridCol w:w="3458"/>
        <w:gridCol w:w="3710"/>
        <w:gridCol w:w="348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1</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水泥筒型库清库作业外包情况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水泥工厂筒型储存库人工清库作业外包给具有专业承包资质的承包方，是否签订专门的安全生产管理协议</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《安全生产法》第四十六条</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《水泥工厂筒型储存库人工清库安全规程》（AQ 2047-2012）第5.1条</w:t>
            </w:r>
            <w:r>
              <w:rPr>
                <w:rFonts w:ascii="Times New Roman" w:hAnsi="Times New Roman" w:eastAsia="仿宋_GB2312"/>
                <w:color w:val="auto"/>
                <w:kern w:val="0"/>
                <w:sz w:val="18"/>
                <w:szCs w:val="18"/>
              </w:rPr>
              <w:t xml:space="preserve"> 清库工作外包时，承包方必须具备高空作业工程专业承包企业资质。</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
                <w:color w:val="auto"/>
                <w:kern w:val="0"/>
                <w:szCs w:val="21"/>
              </w:rPr>
            </w:pPr>
            <w:r>
              <w:rPr>
                <w:rFonts w:ascii="Times New Roman" w:hAnsi="Times New Roman" w:eastAsia="仿宋_GB2312"/>
                <w:b/>
                <w:bCs/>
                <w:color w:val="auto"/>
                <w:kern w:val="0"/>
                <w:sz w:val="18"/>
                <w:szCs w:val="18"/>
              </w:rPr>
              <w:t>《水泥工厂筒型储存库人工清库安全规程》（AQ 2047-2012）第5.2条</w:t>
            </w:r>
            <w:r>
              <w:rPr>
                <w:rFonts w:ascii="Times New Roman" w:hAnsi="Times New Roman" w:eastAsia="仿宋_GB2312"/>
                <w:color w:val="auto"/>
                <w:kern w:val="0"/>
                <w:sz w:val="18"/>
                <w:szCs w:val="18"/>
              </w:rPr>
              <w:t xml:space="preserve"> 清库前，承包方提交清库方案和符合AQ/T 9002要求的应急预案，报水泥工厂书面批准。水泥工厂应与承包方签订清库外包合同（包括安全责任协议），明确双方责任。</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外包项目合同；</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外包项目安全生产管理协议；</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承包方资质；</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对外包项目的安全检查记录；</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外包方作业方案和应急预案；</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（7）销售记录及账务资料；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《安全生产法》第一百条</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2</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水泥工厂监测、报警、灭火及防爆装置的设置情况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煤磨进出口是否设温度监测装置；在煤粉仓、收尘器上是否设监测报警装置；煤磨、煤粉仓、煤磨收尘器是否设置气体灭火系统</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《安全生产法》第三十三条第一款</w:t>
            </w:r>
            <w:r>
              <w:rPr>
                <w:rFonts w:ascii="Times New Roman" w:hAnsi="Times New Roman" w:eastAsia="仿宋_GB2312"/>
                <w:color w:val="auto"/>
                <w:kern w:val="0"/>
                <w:sz w:val="18"/>
                <w:szCs w:val="18"/>
              </w:rPr>
              <w:t xml:space="preserve">  安全设备的设计、制造、安装、使用、检测、维修、改造和报废，应当符合国家标准或者行业标准。</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《水泥工厂设计规范》（GB 50295-2016）第6.7.4条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煤粉制备系统的安全防爆设计应符合下列规定；</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1.煤磨、收尘器、煤粉仓应装设泄压阀；</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8.煤磨进出口应设温度监测装置，在煤粉仓、收尘器上应设温度和一氧化碳监测及自动报警装置；</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10.煤磨、煤粉仓、煤磨收尘器应设置气体灭火系统</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《水泥工厂职业安全卫生设计规范》（</w:t>
            </w:r>
            <w:r>
              <w:rPr>
                <w:rFonts w:ascii="Times New Roman" w:hAnsi="Times New Roman" w:eastAsia="仿宋_GB2312"/>
                <w:b/>
                <w:color w:val="auto"/>
                <w:kern w:val="0"/>
                <w:sz w:val="18"/>
                <w:szCs w:val="18"/>
              </w:rPr>
              <w:t>GB 50577-2010</w:t>
            </w:r>
            <w:r>
              <w:rPr>
                <w:rFonts w:hint="eastAsia" w:ascii="Times New Roman" w:hAnsi="Times New Roman" w:eastAsia="仿宋_GB2312"/>
                <w:b/>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5.4.9  煤粉仓应设置一氧化碳和温度监测仪表及报警、灭火设施。 </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5.4.11  煤磨收尘器入口处及煤粉仓应设置气体灭火装置。</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（三）建材行业。</w:t>
            </w:r>
          </w:p>
          <w:p>
            <w:pPr>
              <w:keepNext w:val="0"/>
              <w:keepLines w:val="0"/>
              <w:pageBreakBefore w:val="0"/>
              <w:widowControl/>
              <w:kinsoku/>
              <w:wordWrap/>
              <w:overflowPunct/>
              <w:topLinePunct w:val="0"/>
              <w:autoSpaceDE/>
              <w:autoSpaceDN/>
              <w:bidi w:val="0"/>
              <w:adjustRightInd w:val="0"/>
              <w:snapToGrid w:val="0"/>
              <w:spacing w:line="260" w:lineRule="exact"/>
              <w:ind w:firstLine="36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1.水泥工厂煤磨袋式收尘器（或煤粉仓）未设置温度和一氧化碳监测，或未设置气体灭火装置。</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ascii="Times New Roman" w:hAnsi="Times New Roman" w:eastAsia="仿宋"/>
                <w:color w:val="auto"/>
                <w:kern w:val="0"/>
                <w:szCs w:val="21"/>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（二）安全设备的安装、使用、检测、改造和报废不符合国家标准或者行业标准的；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6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6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3</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燃气窑炉防火、防爆、防一氧化碳中毒措施情况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燃气窑炉是否设置燃气低压警报器和快速切断阀；发生炉煤气的熔窑烟道是否采取煤气换向防爆措施；煤气危险区域关键部位是否设置一氧化碳监测装置</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《安全生产法》第三十三条第一款 </w:t>
            </w:r>
            <w:r>
              <w:rPr>
                <w:rFonts w:ascii="Times New Roman" w:hAnsi="Times New Roman" w:eastAsia="仿宋_GB2312"/>
                <w:color w:val="auto"/>
                <w:kern w:val="0"/>
                <w:sz w:val="18"/>
                <w:szCs w:val="18"/>
              </w:rPr>
              <w:t xml:space="preserve"> 安全设备的设计、制造、安装、使用、检测、维修、改造和报废，应当符合国家标准或者行业标准。</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50435-2016）第7.2.6.9条</w:t>
            </w:r>
            <w:r>
              <w:rPr>
                <w:rFonts w:ascii="Times New Roman" w:hAnsi="Times New Roman" w:eastAsia="仿宋_GB2312"/>
                <w:color w:val="auto"/>
                <w:kern w:val="0"/>
                <w:sz w:val="18"/>
                <w:szCs w:val="18"/>
              </w:rPr>
              <w:t xml:space="preserve"> 发生炉煤气的熔窑烟道必须采取煤气换向防爆措施。</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6222-2005）第4.10条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煤气危险区(如地下室、加压站、热风炉及各种煤气发生设施附近)的一氧化碳浓度应定期测定，在关键部位应设置一氧化碳监测装置。作业环境一氧化碳最高允许浓度为30mg／m³ (24ppm)。</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2023－2008）第5.15条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燃气窑炉和燃气管道的仪表室应设低压警报器。</w:t>
            </w:r>
            <w:r>
              <w:rPr>
                <w:rFonts w:hint="eastAsia" w:ascii="Times New Roman" w:hAnsi="Times New Roman" w:eastAsia="仿宋_GB2312"/>
                <w:color w:val="auto"/>
                <w:kern w:val="0"/>
                <w:sz w:val="18"/>
                <w:szCs w:val="18"/>
              </w:rPr>
              <w:t>室内应设灭火装置。</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2023－2008）第7.6.11条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燃气窑炉和燃气管道的仪表控制室和操作工位应设固定式泄漏报警装置、低压警报器和快速切断阀</w:t>
            </w:r>
            <w:r>
              <w:rPr>
                <w:rFonts w:hint="eastAsia" w:ascii="Times New Roman" w:hAnsi="Times New Roman" w:eastAsia="仿宋_GB2312"/>
                <w:color w:val="auto"/>
                <w:kern w:val="0"/>
                <w:sz w:val="18"/>
                <w:szCs w:val="18"/>
              </w:rPr>
              <w:t>，室内应设灭火装置</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《耐火材料生产安全规程》（AQ 2023－2008）第8.2.1条 </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车间内各类燃气、动力管线，应架空敷设并应在车间入口设总管切断阀；燃气总管应设快速切断阀和低压报警装置。</w:t>
            </w:r>
            <w:r>
              <w:rPr>
                <w:rFonts w:hint="eastAsia" w:ascii="Times New Roman" w:hAnsi="Times New Roman" w:eastAsia="仿宋_GB2312"/>
                <w:color w:val="auto"/>
                <w:kern w:val="0"/>
                <w:sz w:val="18"/>
                <w:szCs w:val="18"/>
              </w:rPr>
              <w:t>车间内架空燃气管道与其他架空管线的最小净距，应符合有关规定。</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2023－2008）第8.2.4条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煤气助燃用的空气管线总管应安装低压报警装置。空气管末端应安装放散管及防爆薄膜。</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
                <w:color w:val="auto"/>
                <w:szCs w:val="21"/>
              </w:rPr>
            </w:pPr>
            <w:r>
              <w:rPr>
                <w:rFonts w:ascii="Times New Roman" w:hAnsi="Times New Roman" w:eastAsia="仿宋_GB2312"/>
                <w:b/>
                <w:bCs/>
                <w:color w:val="auto"/>
                <w:kern w:val="0"/>
                <w:sz w:val="18"/>
                <w:szCs w:val="18"/>
              </w:rPr>
              <w:t>《耐火材料生产安全规程》（AQ 2023－2008</w:t>
            </w: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第8.2.5条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窑前燃气总管的开闭器之间和各分配管的末端，应设放散管。</w:t>
            </w:r>
            <w:r>
              <w:rPr>
                <w:rFonts w:hint="eastAsia" w:ascii="Times New Roman" w:hAnsi="Times New Roman" w:eastAsia="仿宋_GB2312"/>
                <w:color w:val="auto"/>
                <w:kern w:val="0"/>
                <w:sz w:val="18"/>
                <w:szCs w:val="18"/>
              </w:rPr>
              <w:t>放散管管口高度应按GB 6222的相关规定设置。</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（二）安全设备的安装、使用、检测、改造和报废不符合国家标准或者行业标准的；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5"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4</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高温熔炉冷却及报警装置的设置情况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玻璃窑炉、纤维制品三相电弧炉、电熔制品电炉等高温熔炉的冷却保护系统满足冷却要求，是否设置停机报警装置</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《安全生产法》第三十三条第一款</w:t>
            </w:r>
            <w:r>
              <w:rPr>
                <w:rFonts w:ascii="Times New Roman" w:hAnsi="Times New Roman" w:eastAsia="仿宋_GB2312"/>
                <w:color w:val="auto"/>
                <w:kern w:val="0"/>
                <w:sz w:val="18"/>
                <w:szCs w:val="18"/>
              </w:rPr>
              <w:t xml:space="preserve">  安全设备的设计、制造、安装、使用、检测、维修、改造和报废，应当符合国家标准或者行业标准。</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50435-2016）第7.2.5</w:t>
            </w:r>
            <w:r>
              <w:rPr>
                <w:rFonts w:hint="eastAsia" w:ascii="Times New Roman" w:hAnsi="Times New Roman" w:eastAsia="仿宋_GB2312"/>
                <w:b/>
                <w:bCs/>
                <w:color w:val="auto"/>
                <w:kern w:val="0"/>
                <w:sz w:val="18"/>
                <w:szCs w:val="18"/>
              </w:rPr>
              <w:t>.2</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第1）款</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熔窑自投产开始，冷却风不得中断。</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50435-2016）第7.3.2.8条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锡槽槽底必须设置防止锡液渗漏的冷却设施。</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50435-2016）第11.3.5条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熔窑的冷却风机、助燃风机等机电设备均应设运行显示和故障报警装置。对于重要设备的冷却水进出口温度宜设显示和超温报警装置，并应在进水口设计断水报警装置。</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Cs w:val="21"/>
              </w:rPr>
            </w:pPr>
            <w:r>
              <w:rPr>
                <w:rFonts w:ascii="Times New Roman" w:hAnsi="Times New Roman" w:eastAsia="仿宋_GB2312"/>
                <w:b/>
                <w:bCs/>
                <w:color w:val="auto"/>
                <w:kern w:val="0"/>
                <w:sz w:val="18"/>
                <w:szCs w:val="18"/>
              </w:rPr>
              <w:t>《耐火材料生产安全规程》（AQ 2023－2008）第7.8.1条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使用三相电弧炉时 ,应遵守下列规定：电极夹头安装冷却循环水防漏装置，如有漏水，立即断电抢修</w:t>
            </w:r>
            <w:r>
              <w:rPr>
                <w:rFonts w:hint="eastAsia" w:ascii="Times New Roman" w:hAnsi="Times New Roman" w:eastAsia="仿宋_GB2312"/>
                <w:color w:val="auto"/>
                <w:kern w:val="0"/>
                <w:sz w:val="18"/>
                <w:szCs w:val="18"/>
              </w:rPr>
              <w:t>；......</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olor w:val="auto"/>
                <w:kern w:val="0"/>
                <w:sz w:val="18"/>
                <w:szCs w:val="18"/>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安全设备的安装、使用、检测、改造和报废不符合国家标准或者行业标准的；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9"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5</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3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煤气发生炉及煤气输送系统的防火、防爆等装置的设置情况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煤气发生炉的进口空气管道上，是否设有阀门、止回阀和蒸汽吹扫装置；煤气发生炉空气总管末端是否设有泄爆装置和放散管；是否设报警装置</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 xml:space="preserve"> 有易燃、易爆气体和粉尘的作业场所，应当使用防爆型电气设备或者采取有效的防爆技术措施。</w:t>
            </w:r>
          </w:p>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50435-2016）第14.4.7条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净化有爆炸危险的煤粉尘时，所设</w:t>
            </w:r>
            <w:r>
              <w:rPr>
                <w:rFonts w:hint="eastAsia" w:ascii="Times New Roman" w:hAnsi="Times New Roman" w:eastAsia="仿宋_GB2312"/>
                <w:color w:val="auto"/>
                <w:kern w:val="0"/>
                <w:sz w:val="18"/>
                <w:szCs w:val="18"/>
              </w:rPr>
              <w:t>置</w:t>
            </w:r>
            <w:r>
              <w:rPr>
                <w:rFonts w:ascii="Times New Roman" w:hAnsi="Times New Roman" w:eastAsia="仿宋_GB2312"/>
                <w:color w:val="auto"/>
                <w:kern w:val="0"/>
                <w:sz w:val="18"/>
                <w:szCs w:val="18"/>
              </w:rPr>
              <w:t>的除尘器、过滤器及管道等均应设置泄爆装置，设备和管道均应采取防静电接地措施，设备应采用防爆型，干式除尘器和过滤器应布置在系统负压段上。</w:t>
            </w:r>
          </w:p>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6222-2005)第5.1.2.3条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6222-2005)第5.1.3.5条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煤气发生炉的进口空气管道上，应设有阀门、止回阀和蒸汽吹扫装置。空气总管末端应设有泄爆装置和放散管，放散管应接至室外。</w:t>
            </w:r>
          </w:p>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6222-2005)第5.1.3.9条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新建、扩建煤气发生炉后的竖管、除尘器顶部或煤气发生炉出口管道，应设能自动放散煤气的装置。</w:t>
            </w:r>
          </w:p>
          <w:p>
            <w:pPr>
              <w:keepNext w:val="0"/>
              <w:keepLines w:val="0"/>
              <w:pageBreakBefore w:val="0"/>
              <w:widowControl/>
              <w:kinsoku/>
              <w:wordWrap/>
              <w:overflowPunct/>
              <w:topLinePunct w:val="0"/>
              <w:autoSpaceDE/>
              <w:autoSpaceDN/>
              <w:bidi w:val="0"/>
              <w:adjustRightInd w:val="0"/>
              <w:snapToGrid w:val="0"/>
              <w:spacing w:line="230" w:lineRule="exact"/>
              <w:ind w:firstLine="360"/>
              <w:textAlignment w:val="auto"/>
              <w:outlineLvl w:val="9"/>
              <w:rPr>
                <w:rFonts w:ascii="Times New Roman" w:hAnsi="Times New Roman" w:eastAsia="仿宋"/>
                <w:color w:val="auto"/>
                <w:kern w:val="0"/>
                <w:szCs w:val="21"/>
              </w:rPr>
            </w:pPr>
            <w:r>
              <w:rPr>
                <w:rFonts w:ascii="Times New Roman" w:hAnsi="Times New Roman" w:eastAsia="仿宋_GB2312"/>
                <w:b/>
                <w:bCs/>
                <w:color w:val="auto"/>
                <w:kern w:val="0"/>
                <w:sz w:val="18"/>
                <w:szCs w:val="18"/>
              </w:rPr>
              <w:t>《发生炉煤气站设计规范》（GB 50195-2013）第7.0.1条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煤气净化设备和煤气余热锅炉，应设放散管和吹扫管接头；其装设的位置应能使设备内的介质吹净；当煤气净化设备相连处无隔断装置时，应在较高的设备上或设备之间的煤气管道上装设放散管。</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爆炸危险区电气设备购买凭证和说明书；</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30" w:lineRule="exact"/>
              <w:textAlignment w:val="auto"/>
              <w:outlineLvl w:val="9"/>
              <w:rPr>
                <w:rFonts w:ascii="Times New Roman" w:hAnsi="Times New Roman" w:eastAsia="仿宋"/>
                <w:color w:val="auto"/>
                <w:kern w:val="0"/>
                <w:szCs w:val="21"/>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 xml:space="preserve"> 生产经营单位违反本条例第十六条、第二十一条第一款、第二十三条、第二十四条第一款、第三十二条、第三十四条第一款规定的，责令限期改正，可并处5000元以上2万元以下的罚款；逾期未改正的，责令停产停业整顿。</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0"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6</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输送设备防护、急停等隔离的情况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
                <w:color w:val="auto"/>
                <w:kern w:val="0"/>
                <w:szCs w:val="21"/>
              </w:rPr>
            </w:pPr>
            <w:r>
              <w:rPr>
                <w:rFonts w:ascii="Times New Roman" w:hAnsi="Times New Roman" w:eastAsia="仿宋_GB2312"/>
                <w:color w:val="auto"/>
                <w:kern w:val="0"/>
                <w:sz w:val="18"/>
                <w:szCs w:val="18"/>
              </w:rPr>
              <w:t>输送机的头部、尾部、拉紧部位和输送带改向部位及夹角等部位是否设防护装置；滚筒、托辊是否设防护；各种机械传动装置的外露部分是否设防护，露出的轴承是否加护盖</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《四川省安全生产条例》第三十八条第二款</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各种动力机械的转动、传动部位，压力机械的施压部位，切削机械的切削部位和其他机械对人体有伤害危险的部位，应当设置可靠的安全防护装置。</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《水泥工厂职业安全卫生设计规范》（GB 50577-2010）第5.2.8条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各种机械传动装置的外露部分必须配置防护罩或防护网等安全防护装置，露出的轴承必须加护盖。</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《带式输送机 安全规范》（GB 14784-2013）第4.1.1.1条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在经常有人接近的输送机的头部、尾部、拉紧部位和输送带改向部位是易挤夹部位</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《带式输送机 安全规范》（GB 14784-2013）第4.1.2条滚筒的防护</w:t>
            </w:r>
            <w:r>
              <w:rPr>
                <w:rFonts w:hint="eastAsia" w:ascii="Times New Roman" w:hAnsi="Times New Roman" w:eastAsia="仿宋_GB2312"/>
                <w:b/>
                <w:bCs/>
                <w:color w:val="auto"/>
                <w:kern w:val="0"/>
                <w:sz w:val="18"/>
                <w:szCs w:val="18"/>
              </w:rPr>
              <w:t xml:space="preserve">第一款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滚筒的防护应采用防护罩（板）或防</w:t>
            </w:r>
            <w:r>
              <w:rPr>
                <w:rFonts w:hint="eastAsia" w:ascii="Times New Roman" w:hAnsi="Times New Roman" w:eastAsia="仿宋_GB2312"/>
                <w:color w:val="auto"/>
                <w:kern w:val="0"/>
                <w:sz w:val="18"/>
                <w:szCs w:val="18"/>
              </w:rPr>
              <w:t>夹</w:t>
            </w:r>
            <w:r>
              <w:rPr>
                <w:rFonts w:ascii="Times New Roman" w:hAnsi="Times New Roman" w:eastAsia="仿宋_GB2312"/>
                <w:color w:val="auto"/>
                <w:kern w:val="0"/>
                <w:sz w:val="18"/>
                <w:szCs w:val="18"/>
              </w:rPr>
              <w:t>楔。</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《带式输送机 安全规范》（GB 14784-2013）第</w:t>
            </w:r>
            <w:r>
              <w:rPr>
                <w:rFonts w:hint="eastAsia" w:ascii="Times New Roman" w:hAnsi="Times New Roman" w:eastAsia="仿宋_GB2312"/>
                <w:b/>
                <w:bCs/>
                <w:color w:val="auto"/>
                <w:kern w:val="0"/>
                <w:sz w:val="18"/>
                <w:szCs w:val="18"/>
              </w:rPr>
              <w:t>4.1.3.1</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输送松散物料且在凸弧段内相邻两组承载托辊的夹角大于3°时，应对托辊两侧用防护板进行防护。</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0"/>
              <w:textAlignment w:val="auto"/>
              <w:outlineLvl w:val="9"/>
              <w:rPr>
                <w:rFonts w:ascii="Times New Roman" w:hAnsi="Times New Roman" w:eastAsia="仿宋_GB2312"/>
                <w:color w:val="auto"/>
                <w:kern w:val="0"/>
                <w:szCs w:val="21"/>
              </w:rPr>
            </w:pPr>
            <w:r>
              <w:rPr>
                <w:rFonts w:ascii="Times New Roman" w:hAnsi="Times New Roman" w:eastAsia="仿宋_GB2312"/>
                <w:b/>
                <w:bCs/>
                <w:color w:val="auto"/>
                <w:kern w:val="0"/>
                <w:sz w:val="18"/>
                <w:szCs w:val="18"/>
              </w:rPr>
              <w:t>《带式输送机 安全规范》（GB 14784-2013）第4.1.3.3条</w:t>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在回程分支凸弧段两相邻托辊组的夹角大于3°时，也应按照4.1.3.1的规定对托辊进行防护。</w:t>
            </w:r>
            <w:r>
              <w:rPr>
                <w:rFonts w:hint="eastAsia" w:ascii="Times New Roman" w:hAnsi="Times New Roman" w:eastAsia="仿宋_GB2312"/>
                <w:color w:val="auto"/>
                <w:kern w:val="0"/>
                <w:sz w:val="18"/>
                <w:szCs w:val="18"/>
              </w:rPr>
              <w:t>......</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
                <w:color w:val="auto"/>
                <w:kern w:val="0"/>
                <w:szCs w:val="21"/>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
                <w:color w:val="auto"/>
                <w:kern w:val="0"/>
                <w:szCs w:val="21"/>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
                <w:color w:val="auto"/>
                <w:szCs w:val="21"/>
              </w:rPr>
            </w:pPr>
            <w:r>
              <w:rPr>
                <w:rFonts w:ascii="Times New Roman" w:hAnsi="Times New Roman" w:eastAsia="仿宋_GB2312"/>
                <w:color w:val="auto"/>
                <w:kern w:val="0"/>
                <w:sz w:val="18"/>
                <w:szCs w:val="18"/>
              </w:rPr>
              <w:t>7</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auto"/>
              <w:outlineLvl w:val="9"/>
              <w:rPr>
                <w:rFonts w:ascii="Times New Roman" w:hAnsi="Times New Roman" w:eastAsia="仿宋"/>
                <w:color w:val="auto"/>
                <w:kern w:val="0"/>
                <w:szCs w:val="21"/>
              </w:rPr>
            </w:pPr>
            <w:r>
              <w:rPr>
                <w:rFonts w:ascii="Times New Roman" w:hAnsi="Times New Roman" w:eastAsia="仿宋_GB2312"/>
                <w:bCs/>
                <w:color w:val="auto"/>
                <w:kern w:val="0"/>
                <w:sz w:val="18"/>
                <w:szCs w:val="18"/>
              </w:rPr>
              <w:t>脱硝系统防爆、接地、烟感温感及报警情况</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Cs w:val="21"/>
              </w:rPr>
            </w:pPr>
            <w:r>
              <w:rPr>
                <w:rFonts w:ascii="Times New Roman" w:hAnsi="Times New Roman" w:eastAsia="仿宋_GB2312"/>
                <w:color w:val="auto"/>
                <w:kern w:val="0"/>
                <w:sz w:val="18"/>
                <w:szCs w:val="18"/>
              </w:rPr>
              <w:t>低压供配电是否采用TN-S系统；氨水储罐接地是否良好、是否设有防雷设施；还原剂储存区域内是否设火灾感温感烟探测器；氨水储存区域是否设氨气泄漏检测器及声光报警装置</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《安全生产法》第三十三条第一款</w:t>
            </w:r>
            <w:r>
              <w:rPr>
                <w:rFonts w:ascii="Times New Roman" w:hAnsi="Times New Roman" w:eastAsia="仿宋_GB2312"/>
                <w:color w:val="auto"/>
                <w:kern w:val="0"/>
                <w:sz w:val="18"/>
                <w:szCs w:val="18"/>
              </w:rPr>
              <w:t xml:space="preserve">  安全设备的设计、制造、安装、使用、检测、维修、改造和报废，应当符合国家标准或者行业标准。</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51045-2014）第7.1.1条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51045-2014）第7.1.2条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还原剂储存厂房的防雷设计应符合现行国家标准《建筑物防雷设计规范》GB 50057中二类防雷建筑的有关规定。</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51045-2014）第7.1.3条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低压供配电应采用TN-S系统。</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51045-2014）第7.1.4条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还原剂储存区域内应设置火灾感温感烟探测器，应能自动切断电源。</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51045-2014）第7.1.5条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电气控制柜不应布置在还原剂储存罐所在广房内。</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51045-2014）第7.3.2条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氨水储存区域应设置氨气泄漏检测器及声光报警装置，报警信号应在中央控制室及现场同步显现，现场氨气浓度大于或等于30mg／m³时应能自动报警。</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
                <w:color w:val="auto"/>
                <w:kern w:val="0"/>
                <w:szCs w:val="21"/>
              </w:rPr>
            </w:pPr>
            <w:r>
              <w:rPr>
                <w:rFonts w:ascii="Times New Roman" w:hAnsi="Times New Roman" w:eastAsia="仿宋_GB2312"/>
                <w:b/>
                <w:bCs/>
                <w:color w:val="auto"/>
                <w:kern w:val="0"/>
                <w:sz w:val="18"/>
                <w:szCs w:val="18"/>
              </w:rPr>
              <w:t>《新型干法水泥生产安全规程》（AQ 7014-2018）第7.1.6.2条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氨水储罐应接地良好，储罐的遮阳棚及周边30m范围内要增设安全有效的防雷设施。</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keepNext w:val="0"/>
              <w:keepLines w:val="0"/>
              <w:pageBreakBefore w:val="0"/>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爆炸危险区电气设备购买凭证和说明书；</w:t>
            </w:r>
          </w:p>
          <w:p>
            <w:pPr>
              <w:keepNext w:val="0"/>
              <w:keepLines w:val="0"/>
              <w:pageBreakBefore w:val="0"/>
              <w:kinsoku/>
              <w:wordWrap/>
              <w:overflowPunct/>
              <w:topLinePunct w:val="0"/>
              <w:autoSpaceDE/>
              <w:autoSpaceDN/>
              <w:bidi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供配电系统图；</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《安全生产法》第九十六条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imes New Roman" w:hAnsi="Times New Roman" w:eastAsia="仿宋_GB2312"/>
                <w:color w:val="auto"/>
                <w:kern w:val="0"/>
                <w:sz w:val="18"/>
                <w:szCs w:val="18"/>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安全设备的安装、使用、检测、改造和报废不符合国家标准或者行业标准的；</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textAlignment w:val="auto"/>
              <w:outlineLvl w:val="9"/>
              <w:rPr>
                <w:rFonts w:ascii="Times New Roman" w:hAnsi="Times New Roman" w:eastAsia="仿宋"/>
                <w:color w:val="auto"/>
                <w:kern w:val="0"/>
                <w:szCs w:val="21"/>
              </w:rPr>
            </w:pP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160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auto"/>
              <w:outlineLvl w:val="9"/>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有限空间作业安全管理</w:t>
            </w:r>
          </w:p>
        </w:tc>
        <w:tc>
          <w:tcPr>
            <w:tcW w:w="117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进入筒型储库、磨机、破碎机、篦冷机、各种焙烧窑等有限空间作业时，是否采取有效的防止电气设备意外启动、热气涌入等隔离防护措施。</w:t>
            </w:r>
            <w:r>
              <w:rPr>
                <w:rFonts w:hint="eastAsia" w:ascii="Times New Roman" w:hAnsi="Times New Roman" w:eastAsia="仿宋_GB2312"/>
                <w:color w:val="auto"/>
                <w:kern w:val="0"/>
                <w:sz w:val="18"/>
                <w:szCs w:val="18"/>
              </w:rPr>
              <w:t>（重大隐患）</w:t>
            </w:r>
          </w:p>
        </w:tc>
        <w:tc>
          <w:tcPr>
            <w:tcW w:w="3458"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《安全生产法》第三十八条  </w:t>
            </w:r>
            <w:r>
              <w:rPr>
                <w:rFonts w:hint="eastAsia" w:ascii="Times New Roman" w:hAnsi="Times New Roman" w:eastAsia="仿宋_GB2312"/>
                <w:bCs/>
                <w:color w:val="auto"/>
                <w:kern w:val="0"/>
                <w:sz w:val="18"/>
                <w:szCs w:val="18"/>
              </w:rPr>
              <w:t>生产经营单位应当建立健全生产安全事故隐患排查治理制度，采取技术、管理措施，及时发现并消除事故隐患。事故隐患排查治理情况应当如实记录，并向从业人员通报。</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二、行业类重大事故隐患</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（三）建材行业。</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w:t>
            </w:r>
            <w:r>
              <w:rPr>
                <w:rFonts w:hint="eastAsia" w:ascii="Times New Roman" w:hAnsi="Times New Roman" w:eastAsia="仿宋_GB2312"/>
                <w:bCs/>
                <w:color w:val="auto"/>
                <w:kern w:val="0"/>
                <w:sz w:val="18"/>
                <w:szCs w:val="18"/>
              </w:rPr>
              <w:t>进入筒型储库、磨机、破碎机、篦冷机、各种焙烧窑等有限空间作业时，未采取有效的防止电气设备意外启动、热气涌入等隔离防护措施。</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《工贸企业有限空间作业安全管理与监督暂行规定》第八条 </w:t>
            </w:r>
            <w:r>
              <w:rPr>
                <w:rFonts w:ascii="Times New Roman" w:hAnsi="Times New Roman" w:eastAsia="仿宋_GB2312"/>
                <w:bCs/>
                <w:color w:val="auto"/>
                <w:kern w:val="0"/>
                <w:sz w:val="18"/>
                <w:szCs w:val="18"/>
              </w:rPr>
              <w:t xml:space="preserve"> </w:t>
            </w:r>
            <w:r>
              <w:rPr>
                <w:rFonts w:hint="eastAsia" w:ascii="Times New Roman" w:hAnsi="Times New Roman" w:eastAsia="仿宋_GB2312"/>
                <w:bCs/>
                <w:color w:val="auto"/>
                <w:kern w:val="0"/>
                <w:sz w:val="18"/>
                <w:szCs w:val="18"/>
              </w:rPr>
              <w:t>工贸企业实施有限空间作业前，应当对作业环境进行评估，分析存在的危险有害因素，提出消除、控制危害的措施，制定有限空间作业方案，并经本企业安全生产管理人员审核，负责人批准。</w:t>
            </w:r>
          </w:p>
          <w:p>
            <w:pPr>
              <w:keepNext w:val="0"/>
              <w:keepLines w:val="0"/>
              <w:pageBreakBefore w:val="0"/>
              <w:widowControl/>
              <w:kinsoku/>
              <w:wordWrap/>
              <w:overflowPunct/>
              <w:topLinePunct w:val="0"/>
              <w:autoSpaceDE/>
              <w:autoSpaceDN/>
              <w:bidi w:val="0"/>
              <w:adjustRightInd w:val="0"/>
              <w:snapToGrid w:val="0"/>
              <w:spacing w:line="220" w:lineRule="exact"/>
              <w:ind w:firstLine="36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第十一条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工贸企业应当采取可靠的隔断（隔离）措施，将可能危及作业安全的设施设备、存在有毒有害物质的空间与作业地点隔开。</w:t>
            </w:r>
          </w:p>
        </w:tc>
        <w:tc>
          <w:tcPr>
            <w:tcW w:w="371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（2）隔离防护安全管理制度；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有限空间作业方案；</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《安全生产法》第九十九条  </w:t>
            </w:r>
            <w:r>
              <w:rPr>
                <w:rFonts w:hint="eastAsia" w:ascii="Times New Roman" w:hAnsi="Times New Roman" w:eastAsia="仿宋_GB2312"/>
                <w:bCs/>
                <w:color w:val="auto"/>
                <w:kern w:val="0"/>
                <w:sz w:val="18"/>
                <w:szCs w:val="18"/>
              </w:rPr>
              <w:t>生产经营单位未采取措施消除事故隐患的，责令立即消除或者限期消除</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keepNext w:val="0"/>
              <w:keepLines w:val="0"/>
              <w:pageBreakBefore w:val="0"/>
              <w:widowControl/>
              <w:kinsoku/>
              <w:wordWrap/>
              <w:overflowPunct/>
              <w:topLinePunct w:val="0"/>
              <w:autoSpaceDE/>
              <w:autoSpaceDN/>
              <w:bidi w:val="0"/>
              <w:adjustRightInd w:val="0"/>
              <w:snapToGrid w:val="0"/>
              <w:spacing w:line="22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165"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 证照及资料有正副本的，均核验留存复印件。</w:t>
            </w:r>
          </w:p>
          <w:p>
            <w:pPr>
              <w:keepNext w:val="0"/>
              <w:keepLines w:val="0"/>
              <w:pageBreakBefore w:val="0"/>
              <w:widowControl/>
              <w:kinsoku/>
              <w:wordWrap/>
              <w:overflowPunct/>
              <w:topLinePunct w:val="0"/>
              <w:autoSpaceDE/>
              <w:autoSpaceDN/>
              <w:bidi w:val="0"/>
              <w:adjustRightInd w:val="0"/>
              <w:snapToGrid w:val="0"/>
              <w:spacing w:line="220" w:lineRule="exact"/>
              <w:ind w:firstLine="540" w:firstLineChars="300"/>
              <w:textAlignment w:val="auto"/>
              <w:outlineLvl w:val="9"/>
              <w:rPr>
                <w:rFonts w:ascii="Times New Roman" w:hAnsi="Times New Roman" w:eastAsia="仿宋"/>
                <w:color w:val="auto"/>
                <w:kern w:val="0"/>
                <w:szCs w:val="21"/>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pStyle w:val="9"/>
        <w:ind w:firstLine="420"/>
        <w:rPr>
          <w:color w:val="auto"/>
        </w:rPr>
      </w:pPr>
      <w:r>
        <w:rPr>
          <w:rFonts w:ascii="Times New Roman" w:hAnsi="Times New Roman" w:eastAsia="方正小标宋简体"/>
          <w:color w:val="auto"/>
        </w:rPr>
        <w:br w:type="page"/>
      </w: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outlineLvl w:val="0"/>
        <w:rPr>
          <w:rFonts w:hint="eastAsia" w:ascii="仿宋_GB2312" w:hAnsi="仿宋_GB2312" w:eastAsia="仿宋_GB2312" w:cs="仿宋_GB2312"/>
          <w:color w:val="auto"/>
          <w:sz w:val="30"/>
          <w:szCs w:val="30"/>
          <w:lang w:eastAsia="zh-CN"/>
        </w:rPr>
      </w:pPr>
      <w:r>
        <w:rPr>
          <w:rFonts w:hint="eastAsia" w:ascii="Times New Roman" w:hAnsi="Times New Roman"/>
          <w:color w:val="auto"/>
          <w:kern w:val="0"/>
          <w:szCs w:val="21"/>
          <w:lang w:val="en-US" w:eastAsia="zh-CN"/>
        </w:rPr>
        <w:t xml:space="preserve">     </w:t>
      </w:r>
      <w:bookmarkStart w:id="3" w:name="_Toc69374613"/>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lang w:eastAsia="zh-CN"/>
        </w:rPr>
        <w:t>轻工企业重点检查清单</w:t>
      </w:r>
      <w:bookmarkEnd w:id="3"/>
    </w:p>
    <w:tbl>
      <w:tblPr>
        <w:tblStyle w:val="6"/>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54"/>
        <w:gridCol w:w="954"/>
        <w:gridCol w:w="3908"/>
        <w:gridCol w:w="3362"/>
        <w:gridCol w:w="4419"/>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18"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序号</w:t>
            </w:r>
          </w:p>
        </w:tc>
        <w:tc>
          <w:tcPr>
            <w:tcW w:w="954"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检查事项</w:t>
            </w:r>
          </w:p>
        </w:tc>
        <w:tc>
          <w:tcPr>
            <w:tcW w:w="954"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检查内容</w:t>
            </w:r>
          </w:p>
        </w:tc>
        <w:tc>
          <w:tcPr>
            <w:tcW w:w="3908"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检查依据</w:t>
            </w:r>
          </w:p>
        </w:tc>
        <w:tc>
          <w:tcPr>
            <w:tcW w:w="3362" w:type="dxa"/>
            <w:noWrap w:val="0"/>
            <w:vAlign w:val="center"/>
          </w:tcPr>
          <w:p>
            <w:pPr>
              <w:widowControl/>
              <w:adjustRightInd w:val="0"/>
              <w:snapToGrid w:val="0"/>
              <w:spacing w:line="200" w:lineRule="exact"/>
              <w:jc w:val="center"/>
              <w:rPr>
                <w:rFonts w:ascii="Times New Roman" w:hAnsi="Times New Roman" w:eastAsia="仿宋_GB2312"/>
                <w:color w:val="auto"/>
              </w:rPr>
            </w:pPr>
            <w:r>
              <w:rPr>
                <w:rFonts w:hint="eastAsia" w:ascii="Times New Roman" w:hAnsi="Times New Roman" w:eastAsia="仿宋_GB2312"/>
                <w:b/>
                <w:color w:val="auto"/>
                <w:kern w:val="0"/>
                <w:sz w:val="18"/>
                <w:szCs w:val="18"/>
              </w:rPr>
              <w:t>主要证据</w:t>
            </w:r>
          </w:p>
        </w:tc>
        <w:tc>
          <w:tcPr>
            <w:tcW w:w="4419"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法律责任</w:t>
            </w:r>
          </w:p>
        </w:tc>
        <w:tc>
          <w:tcPr>
            <w:tcW w:w="950"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jc w:val="center"/>
              <w:textAlignment w:val="auto"/>
              <w:outlineLvl w:val="9"/>
              <w:rPr>
                <w:rFonts w:ascii="Times New Roman" w:hAnsi="Times New Roman"/>
                <w:color w:val="auto"/>
              </w:rPr>
            </w:pPr>
            <w:r>
              <w:rPr>
                <w:rFonts w:ascii="Times New Roman" w:hAnsi="Times New Roman" w:eastAsia="仿宋_GB2312"/>
                <w:b/>
                <w:color w:val="auto"/>
                <w:kern w:val="0"/>
                <w:sz w:val="18"/>
                <w:szCs w:val="18"/>
              </w:rPr>
              <w:t>1</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jc w:val="center"/>
              <w:textAlignment w:val="auto"/>
              <w:outlineLvl w:val="9"/>
              <w:rPr>
                <w:rFonts w:ascii="Times New Roman" w:hAnsi="Times New Roman"/>
                <w:color w:val="auto"/>
              </w:rPr>
            </w:pPr>
            <w:r>
              <w:rPr>
                <w:rFonts w:ascii="Times New Roman" w:hAnsi="Times New Roman" w:eastAsia="仿宋_GB2312"/>
                <w:color w:val="auto"/>
                <w:kern w:val="0"/>
                <w:sz w:val="18"/>
                <w:szCs w:val="18"/>
              </w:rPr>
              <w:t>安全警示标志</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3908" w:type="dxa"/>
            <w:noWrap w:val="0"/>
            <w:vAlign w:val="center"/>
          </w:tcPr>
          <w:p>
            <w:pPr>
              <w:keepNext w:val="0"/>
              <w:keepLines w:val="0"/>
              <w:pageBreakBefore w:val="0"/>
              <w:widowControl/>
              <w:tabs>
                <w:tab w:val="left" w:pos="3150"/>
              </w:tabs>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》第三十二条</w:t>
            </w:r>
            <w:r>
              <w:rPr>
                <w:rFonts w:ascii="Times New Roman" w:hAnsi="Times New Roman" w:eastAsia="仿宋_GB2312"/>
                <w:color w:val="auto"/>
                <w:kern w:val="0"/>
                <w:sz w:val="18"/>
                <w:szCs w:val="18"/>
              </w:rPr>
              <w:t xml:space="preserve">  生产经营单位应当在有较大危险因素的生产经营场所和有关设施、设备上，设置明显的安全警示标志。</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使用导则》（GB2894-2008）8.</w:t>
            </w:r>
            <w:r>
              <w:rPr>
                <w:rFonts w:ascii="Times New Roman" w:hAnsi="Times New Roman" w:eastAsia="仿宋_GB2312"/>
                <w:color w:val="auto"/>
                <w:kern w:val="0"/>
                <w:sz w:val="18"/>
                <w:szCs w:val="18"/>
              </w:rPr>
              <w:t>标志牌的设置高度</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标志牌的设置高度，应尽量与人眼的视线高度相一致。悬挂式和柱式的环境信息标志牌的下缘距地面的高度不宜小于2m：局部信息标志的设置高度应视具体情况确定。</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w:t>
            </w:r>
            <w:r>
              <w:rPr>
                <w:rFonts w:ascii="Times New Roman" w:hAnsi="Times New Roman" w:eastAsia="仿宋_GB2312"/>
                <w:color w:val="auto"/>
                <w:kern w:val="0"/>
                <w:sz w:val="18"/>
                <w:szCs w:val="18"/>
              </w:rPr>
              <w:t>附录A 安全标志牌的尺寸。</w:t>
            </w:r>
          </w:p>
        </w:tc>
        <w:tc>
          <w:tcPr>
            <w:tcW w:w="336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18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180" w:lineRule="exact"/>
              <w:jc w:val="both"/>
              <w:textAlignment w:val="auto"/>
              <w:outlineLvl w:val="9"/>
              <w:rPr>
                <w:color w:val="auto"/>
              </w:rPr>
            </w:pPr>
            <w:r>
              <w:rPr>
                <w:rFonts w:hint="eastAsia" w:ascii="Times New Roman" w:hAnsi="Times New Roman" w:eastAsia="仿宋_GB2312"/>
                <w:color w:val="auto"/>
                <w:kern w:val="0"/>
                <w:sz w:val="18"/>
                <w:szCs w:val="18"/>
              </w:rPr>
              <w:t>（2）企业较大危险因素辨识的相关资料；</w:t>
            </w:r>
          </w:p>
          <w:p>
            <w:pPr>
              <w:keepNext w:val="0"/>
              <w:keepLines w:val="0"/>
              <w:pageBreakBefore w:val="0"/>
              <w:widowControl/>
              <w:kinsoku/>
              <w:wordWrap/>
              <w:overflowPunct/>
              <w:topLinePunct w:val="0"/>
              <w:autoSpaceDE/>
              <w:autoSpaceDN/>
              <w:bidi w:val="0"/>
              <w:adjustRightInd w:val="0"/>
              <w:snapToGrid w:val="0"/>
              <w:spacing w:line="18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r>
              <w:rPr>
                <w:rFonts w:hint="eastAsia" w:ascii="Times New Roman" w:hAnsi="Times New Roman" w:eastAsia="仿宋_GB2312"/>
                <w:color w:val="auto"/>
                <w:kern w:val="0"/>
                <w:sz w:val="18"/>
                <w:szCs w:val="18"/>
              </w:rPr>
              <w:t>（含安全警示标志的图片</w:t>
            </w:r>
            <w:r>
              <w:rPr>
                <w:rFonts w:ascii="Times New Roman" w:hAnsi="Times New Roman" w:eastAsia="仿宋_GB2312"/>
                <w:color w:val="auto"/>
                <w:kern w:val="0"/>
                <w:sz w:val="18"/>
                <w:szCs w:val="18"/>
              </w:rPr>
              <w:t>或影像资料</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18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jc w:val="both"/>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其它相关证据。</w:t>
            </w:r>
          </w:p>
        </w:tc>
        <w:tc>
          <w:tcPr>
            <w:tcW w:w="4419"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安全生产法</w:t>
            </w:r>
            <w:r>
              <w:rPr>
                <w:rFonts w:ascii="Times New Roman" w:hAnsi="Times New Roman" w:eastAsia="仿宋_GB2312"/>
                <w:b/>
                <w:bCs/>
                <w:color w:val="auto"/>
                <w:kern w:val="0"/>
                <w:sz w:val="18"/>
                <w:szCs w:val="18"/>
              </w:rPr>
              <w:t>》第九十六条</w:t>
            </w:r>
            <w:r>
              <w:rPr>
                <w:rFonts w:ascii="Times New Roman" w:hAnsi="Times New Roman" w:eastAsia="仿宋_GB2312"/>
                <w:color w:val="auto"/>
                <w:kern w:val="0"/>
                <w:sz w:val="18"/>
                <w:szCs w:val="18"/>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jc w:val="both"/>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（一）未在有较大危险因素的生产经营场所和有关设施、设备上设置明显的安全警示标志的；</w:t>
            </w:r>
            <w:r>
              <w:rPr>
                <w:rFonts w:hint="eastAsia" w:ascii="Times New Roman" w:hAnsi="Times New Roman" w:eastAsia="仿宋_GB2312"/>
                <w:color w:val="auto"/>
                <w:kern w:val="0"/>
                <w:sz w:val="18"/>
                <w:szCs w:val="18"/>
              </w:rPr>
              <w:t>......</w:t>
            </w:r>
          </w:p>
        </w:tc>
        <w:tc>
          <w:tcPr>
            <w:tcW w:w="950"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jc w:val="center"/>
              <w:textAlignment w:val="auto"/>
              <w:outlineLvl w:val="9"/>
              <w:rPr>
                <w:rFonts w:ascii="Times New Roman" w:hAnsi="Times New Roman"/>
                <w:color w:val="auto"/>
              </w:rPr>
            </w:pPr>
            <w:r>
              <w:rPr>
                <w:rFonts w:ascii="Times New Roman" w:hAnsi="Times New Roman" w:eastAsia="仿宋_GB2312"/>
                <w:b/>
                <w:color w:val="auto"/>
                <w:kern w:val="0"/>
                <w:sz w:val="18"/>
                <w:szCs w:val="18"/>
              </w:rPr>
              <w:t>2</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高温设备安全保护措施配备情况</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color w:val="auto"/>
              </w:rPr>
            </w:pP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烘制、油炸等高温设备未采用防过热自动报警切断和隔热板、墙等保护措施。安全管理机构成立和人员配备情况。安全生产教育和培训情况。事故隐患排查治理情况。</w:t>
            </w:r>
            <w:r>
              <w:rPr>
                <w:rFonts w:hint="eastAsia" w:ascii="Times New Roman" w:hAnsi="Times New Roman" w:eastAsia="仿宋_GB2312"/>
                <w:color w:val="auto"/>
                <w:kern w:val="0"/>
                <w:sz w:val="18"/>
                <w:szCs w:val="18"/>
              </w:rPr>
              <w:t>（重大隐患）</w:t>
            </w:r>
          </w:p>
        </w:tc>
        <w:tc>
          <w:tcPr>
            <w:tcW w:w="3908"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《安全生产法》第三十三条 </w:t>
            </w:r>
            <w:r>
              <w:rPr>
                <w:rFonts w:hint="eastAsia" w:ascii="Times New Roman" w:hAnsi="Times New Roman" w:eastAsia="仿宋_GB2312"/>
                <w:color w:val="auto"/>
                <w:kern w:val="0"/>
                <w:sz w:val="18"/>
                <w:szCs w:val="18"/>
              </w:rPr>
              <w:t xml:space="preserve"> 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《食品生产企业安全生产监督管理暂行规定》第十六条</w:t>
            </w:r>
            <w:r>
              <w:rPr>
                <w:rFonts w:ascii="Times New Roman" w:hAnsi="Times New Roman" w:eastAsia="仿宋_GB2312"/>
                <w:color w:val="auto"/>
                <w:kern w:val="0"/>
                <w:sz w:val="18"/>
                <w:szCs w:val="18"/>
              </w:rPr>
              <w:t xml:space="preserve">  食品生产企业的作业场所应当符合下列要求：</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（三）涉及烘制、油炸等高温的设施设备和岗位，采用必要的防过热自动报警切断和隔热板、墙等保护设施；</w:t>
            </w: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《肉类加工机械油炸机》（</w:t>
            </w:r>
            <w:r>
              <w:rPr>
                <w:rFonts w:hint="eastAsia" w:ascii="Times New Roman" w:hAnsi="Times New Roman" w:eastAsia="仿宋_GB2312"/>
                <w:b/>
                <w:bCs/>
                <w:color w:val="auto"/>
                <w:kern w:val="0"/>
                <w:sz w:val="18"/>
                <w:szCs w:val="18"/>
              </w:rPr>
              <w:t>JB/T11068-2011</w:t>
            </w:r>
            <w:r>
              <w:rPr>
                <w:rFonts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cr/>
            </w:r>
            <w:r>
              <w:rPr>
                <w:rFonts w:hint="eastAsia" w:ascii="Times New Roman" w:hAnsi="Times New Roman" w:eastAsia="仿宋_GB2312"/>
                <w:b/>
                <w:bCs/>
                <w:color w:val="auto"/>
                <w:kern w:val="0"/>
                <w:sz w:val="18"/>
                <w:szCs w:val="18"/>
              </w:rPr>
              <w:t xml:space="preserve">    </w:t>
            </w:r>
            <w:r>
              <w:rPr>
                <w:rFonts w:ascii="Times New Roman" w:hAnsi="Times New Roman" w:eastAsia="仿宋_GB2312"/>
                <w:color w:val="auto"/>
                <w:kern w:val="0"/>
                <w:sz w:val="18"/>
                <w:szCs w:val="18"/>
              </w:rPr>
              <w:t>（１）安全操作规程应设置在作业现场， 并有醒目的安全警示标识。</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（２）油炸机应有油温过热自动保护和预警装置， 严禁员工离岗、 脱岗。</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（３）油烟排放系统应建立现场可视监控、 监测报警系统和定期清理制度， 并确保执行到位。</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（４）作业完毕应及时关闭加热设备， 确保降温措施执行到位。</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（５）油炸锅配备二氧化碳自动灭火装置。</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（６）车间物理隔离严禁使用易燃材料。</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1.食品制造企业涉及烘制、油炸等设施设备，未采取防过热自动报警切断装置和隔热防护措施。</w:t>
            </w:r>
          </w:p>
        </w:tc>
        <w:tc>
          <w:tcPr>
            <w:tcW w:w="336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（2）高温设备防护装置设置情况和相关设施合格证明；</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（3）安全管理机构设置情况和相关制度；</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（4）配备人员执业/资质证明等相关资料；</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（5）安全生产教育培训计划和档案等资料；</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（6）事故隐患排查治理制度、事故隐患排查治理统计分析表、事故隐患治理方案、重大事故隐患报告的资料、事故隐患排查治理记录、事故隐患排查治理通报记录等相关资料；</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现场图片或影像资料；</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其它相关证据。</w:t>
            </w:r>
          </w:p>
        </w:tc>
        <w:tc>
          <w:tcPr>
            <w:tcW w:w="4419"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《安全生产法》第九十六条  </w:t>
            </w:r>
            <w:r>
              <w:rPr>
                <w:rFonts w:hint="eastAsia" w:ascii="Times New Roman" w:hAnsi="Times New Roman" w:eastAsia="仿宋_GB2312"/>
                <w:color w:val="auto"/>
                <w:kern w:val="0"/>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 xml:space="preserve">    ……</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《食品生产企业安全生产监督管理暂行规定》第二十六条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（一）未按照规定设置安全生产管理机构或者配备安全生产管理人员的；</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（二）未如实记录安全生产教育和培训情况的；</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（三）未将事故隐患排查治理情况如实记录或者未向从业人员通报的。</w:t>
            </w:r>
          </w:p>
          <w:p>
            <w:pPr>
              <w:keepNext w:val="0"/>
              <w:keepLines w:val="0"/>
              <w:pageBreakBefore w:val="0"/>
              <w:widowControl/>
              <w:kinsoku/>
              <w:wordWrap/>
              <w:overflowPunct/>
              <w:topLinePunct w:val="0"/>
              <w:autoSpaceDE/>
              <w:autoSpaceDN/>
              <w:bidi w:val="0"/>
              <w:adjustRightInd w:val="0"/>
              <w:snapToGrid w:val="0"/>
              <w:spacing w:line="18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18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0" w:type="dxa"/>
            <w:noWrap w:val="0"/>
            <w:vAlign w:val="center"/>
          </w:tcPr>
          <w:p>
            <w:pPr>
              <w:keepNext w:val="0"/>
              <w:keepLines w:val="0"/>
              <w:pageBreakBefore w:val="0"/>
              <w:widowControl/>
              <w:kinsoku/>
              <w:wordWrap/>
              <w:overflowPunct/>
              <w:topLinePunct w:val="0"/>
              <w:autoSpaceDE/>
              <w:autoSpaceDN/>
              <w:bidi w:val="0"/>
              <w:adjustRightInd w:val="0"/>
              <w:snapToGrid w:val="0"/>
              <w:spacing w:line="180" w:lineRule="exact"/>
              <w:textAlignment w:val="auto"/>
              <w:outlineLvl w:val="9"/>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4" w:hRule="atLeast"/>
          <w:jc w:val="center"/>
        </w:trPr>
        <w:tc>
          <w:tcPr>
            <w:tcW w:w="6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6</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color w:val="auto"/>
              </w:rPr>
            </w:pPr>
            <w:r>
              <w:rPr>
                <w:rFonts w:ascii="Times New Roman" w:hAnsi="Times New Roman" w:eastAsia="仿宋_GB2312"/>
                <w:color w:val="auto"/>
                <w:sz w:val="18"/>
                <w:szCs w:val="18"/>
              </w:rPr>
              <w:t>喷涂车间、调漆间</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是否规范设置通风装置和防爆电气设备设施。</w:t>
            </w:r>
            <w:r>
              <w:rPr>
                <w:rFonts w:hint="eastAsia" w:ascii="Times New Roman" w:hAnsi="Times New Roman" w:eastAsia="仿宋_GB2312"/>
                <w:color w:val="auto"/>
                <w:kern w:val="0"/>
                <w:sz w:val="18"/>
                <w:szCs w:val="18"/>
              </w:rPr>
              <w:t>（重大隐患）</w:t>
            </w:r>
          </w:p>
        </w:tc>
        <w:tc>
          <w:tcPr>
            <w:tcW w:w="390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《安全生产法》第三十三条</w:t>
            </w:r>
            <w:r>
              <w:rPr>
                <w:rFonts w:ascii="Times New Roman" w:hAnsi="Times New Roman" w:eastAsia="仿宋_GB2312"/>
                <w:b/>
                <w:color w:val="auto"/>
                <w:kern w:val="0"/>
                <w:sz w:val="18"/>
                <w:szCs w:val="18"/>
              </w:rPr>
              <w:t xml:space="preserve"> </w:t>
            </w:r>
            <w:r>
              <w:rPr>
                <w:rFonts w:hint="eastAsia" w:ascii="Times New Roman" w:hAnsi="Times New Roman" w:eastAsia="仿宋_GB2312"/>
                <w:color w:val="auto"/>
                <w:kern w:val="0"/>
                <w:sz w:val="18"/>
                <w:szCs w:val="18"/>
              </w:rPr>
              <w:t xml:space="preserve"> 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《涂装作业安全规程</w:t>
            </w:r>
            <w:r>
              <w:rPr>
                <w:rFonts w:ascii="Times New Roman" w:hAnsi="Times New Roman" w:eastAsia="仿宋_GB2312"/>
                <w:b/>
                <w:color w:val="auto"/>
                <w:kern w:val="0"/>
                <w:sz w:val="18"/>
                <w:szCs w:val="18"/>
              </w:rPr>
              <w:t xml:space="preserve"> </w:t>
            </w:r>
            <w:r>
              <w:rPr>
                <w:rFonts w:hint="eastAsia" w:ascii="Times New Roman" w:hAnsi="Times New Roman" w:eastAsia="仿宋_GB2312"/>
                <w:b/>
                <w:color w:val="auto"/>
                <w:kern w:val="0"/>
                <w:sz w:val="18"/>
                <w:szCs w:val="18"/>
              </w:rPr>
              <w:t>喷漆室安全技术规定》（</w:t>
            </w:r>
            <w:r>
              <w:rPr>
                <w:rFonts w:ascii="Times New Roman" w:hAnsi="Times New Roman" w:eastAsia="仿宋_GB2312"/>
                <w:b/>
                <w:color w:val="auto"/>
                <w:kern w:val="0"/>
                <w:sz w:val="18"/>
                <w:szCs w:val="18"/>
              </w:rPr>
              <w:t>GB 14444-2006</w:t>
            </w:r>
            <w:r>
              <w:rPr>
                <w:rFonts w:hint="eastAsia" w:ascii="Times New Roman" w:hAnsi="Times New Roman" w:eastAsia="仿宋_GB2312"/>
                <w:b/>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  喷漆室应设置安全通风装置和去除漆雾装置”；第6.1.1条规定：“喷漆区为1区爆炸危险区域”；第6.2条规定：“喷漆区的电气设施—喷漆区的电气接线和设备应符合爆炸危险场所1区的规定”。</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6.喷涂车间、调漆间未规范设置通风装置和防爆电气设备设施。</w:t>
            </w:r>
          </w:p>
        </w:tc>
        <w:tc>
          <w:tcPr>
            <w:tcW w:w="336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（2）通风装置和防爆电气设备设施合格证明；</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30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4419"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《安全生产法》第九十六条  </w:t>
            </w:r>
            <w:r>
              <w:rPr>
                <w:rFonts w:hint="eastAsia" w:ascii="Times New Roman" w:hAnsi="Times New Roman" w:eastAsia="仿宋_GB2312"/>
                <w:bCs/>
                <w:color w:val="auto"/>
                <w:kern w:val="0"/>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（二）安全设备的安装、使用、检测、改造和报废不符合国家标准或者行业标准的；</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（三）未对安全设备进行经常性维护、保养和定期检测的；</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30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《安全生产法》</w:t>
            </w:r>
            <w:r>
              <w:rPr>
                <w:rFonts w:ascii="Times New Roman" w:hAnsi="Times New Roman" w:eastAsia="仿宋_GB2312"/>
                <w:color w:val="auto"/>
                <w:kern w:val="0"/>
                <w:sz w:val="18"/>
                <w:szCs w:val="18"/>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360" w:firstLineChars="200"/>
              <w:textAlignment w:val="auto"/>
              <w:outlineLvl w:val="9"/>
              <w:rPr>
                <w:rFonts w:ascii="Times New Roman" w:hAnsi="Times New Roman" w:eastAsia="仿宋_GB2312"/>
                <w:color w:val="auto"/>
                <w:kern w:val="0"/>
                <w:sz w:val="18"/>
                <w:szCs w:val="18"/>
              </w:rPr>
            </w:pPr>
          </w:p>
        </w:tc>
        <w:tc>
          <w:tcPr>
            <w:tcW w:w="950" w:type="dxa"/>
            <w:noWrap w:val="0"/>
            <w:vAlign w:val="center"/>
          </w:tcPr>
          <w:p>
            <w:pPr>
              <w:widowControl/>
              <w:adjustRightInd w:val="0"/>
              <w:snapToGrid w:val="0"/>
              <w:spacing w:line="20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8" w:type="dxa"/>
            <w:noWrap w:val="0"/>
            <w:vAlign w:val="center"/>
          </w:tcPr>
          <w:p>
            <w:pPr>
              <w:widowControl/>
              <w:adjustRightInd w:val="0"/>
              <w:snapToGrid w:val="0"/>
              <w:spacing w:line="200" w:lineRule="exact"/>
              <w:jc w:val="center"/>
              <w:rPr>
                <w:rFonts w:hint="eastAsia" w:ascii="Times New Roman" w:hAnsi="Times New Roman" w:eastAsia="仿宋_GB2312"/>
                <w:b/>
                <w:color w:val="auto"/>
                <w:kern w:val="0"/>
                <w:sz w:val="18"/>
                <w:szCs w:val="18"/>
                <w:lang w:eastAsia="zh-CN"/>
              </w:rPr>
            </w:pPr>
            <w:r>
              <w:rPr>
                <w:rFonts w:hint="eastAsia" w:ascii="Times New Roman" w:hAnsi="Times New Roman" w:eastAsia="仿宋_GB2312"/>
                <w:b/>
                <w:color w:val="auto"/>
                <w:kern w:val="0"/>
                <w:sz w:val="18"/>
                <w:szCs w:val="18"/>
                <w:lang w:val="en-US" w:eastAsia="zh-CN"/>
              </w:rPr>
              <w:t>7</w:t>
            </w:r>
          </w:p>
        </w:tc>
        <w:tc>
          <w:tcPr>
            <w:tcW w:w="954" w:type="dxa"/>
            <w:noWrap w:val="0"/>
            <w:vAlign w:val="center"/>
          </w:tcPr>
          <w:p>
            <w:pPr>
              <w:widowControl/>
              <w:adjustRightInd w:val="0"/>
              <w:snapToGrid w:val="0"/>
              <w:spacing w:line="200" w:lineRule="exact"/>
              <w:jc w:val="center"/>
              <w:rPr>
                <w:rFonts w:ascii="Times New Roman" w:hAnsi="Times New Roman"/>
                <w:color w:val="auto"/>
              </w:rPr>
            </w:pPr>
            <w:r>
              <w:rPr>
                <w:rFonts w:ascii="Times New Roman" w:hAnsi="Times New Roman" w:eastAsia="仿宋_GB2312"/>
                <w:color w:val="auto"/>
                <w:kern w:val="0"/>
                <w:sz w:val="18"/>
                <w:szCs w:val="18"/>
              </w:rPr>
              <w:t>有限空间</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有限空间的辨识和作业检查</w:t>
            </w:r>
          </w:p>
        </w:tc>
        <w:tc>
          <w:tcPr>
            <w:tcW w:w="390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《有限空间作业安全技术规程》（</w:t>
            </w:r>
            <w:r>
              <w:rPr>
                <w:rFonts w:hint="eastAsia" w:ascii="Times New Roman" w:hAnsi="Times New Roman" w:eastAsia="仿宋_GB2312"/>
                <w:b/>
                <w:bCs/>
                <w:color w:val="auto"/>
                <w:kern w:val="0"/>
                <w:sz w:val="18"/>
                <w:szCs w:val="18"/>
              </w:rPr>
              <w:t>DB33/707-2013</w:t>
            </w:r>
            <w:r>
              <w:rPr>
                <w:rFonts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（１）作业点应设置醒目的警示标识和清仓、维修作业流程。（２）有限空间作业应执行审批程序。 作业先通风， 再检测， 合格后进行监护作业。（３）进入仓内作业时应正确佩戴安全绳、 安全帽及防毒用品。监护人员到位， 并配备急救用品和正压呼吸器。（４）在自然通风不良的环境内作业时， 应采用机械通风置换空气， 在作业过程中不得停风。（５）有限空间的吸风口应设置在下部。 当存在与空气密度相同或小于空气密度的污染物时， 还应在顶部增设吸风口。</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第七条　</w:t>
            </w:r>
            <w:r>
              <w:rPr>
                <w:rFonts w:hint="eastAsia"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第八条</w:t>
            </w:r>
            <w:r>
              <w:rPr>
                <w:rFonts w:hint="eastAsia" w:ascii="Times New Roman" w:hAnsi="Times New Roman" w:eastAsia="仿宋_GB2312"/>
                <w:color w:val="auto"/>
                <w:kern w:val="0"/>
                <w:sz w:val="18"/>
                <w:szCs w:val="18"/>
              </w:rPr>
              <w:t>　工贸企业实施有限空间作业前,应当对作业环境进行评估,分析存在的危险有害因素,提出消除、控制危害的措施,制定有限空间作业方案,并经本企业安全生产管理人员审核,负责人批准。</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第九条</w:t>
            </w:r>
            <w:r>
              <w:rPr>
                <w:rFonts w:hint="eastAsia" w:ascii="Times New Roman" w:hAnsi="Times New Roman" w:eastAsia="仿宋_GB2312"/>
                <w:color w:val="auto"/>
                <w:kern w:val="0"/>
                <w:sz w:val="18"/>
                <w:szCs w:val="18"/>
              </w:rPr>
              <w:t>　工贸企业应当按照有限空间作业方案,明确作业现场负责人、监护人员、作业人员及其安全职责。</w:t>
            </w:r>
          </w:p>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textAlignment w:val="auto"/>
              <w:outlineLvl w:val="9"/>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第十条</w:t>
            </w:r>
            <w:r>
              <w:rPr>
                <w:rFonts w:hint="eastAsia" w:ascii="Times New Roman" w:hAnsi="Times New Roman" w:eastAsia="仿宋_GB2312"/>
                <w:color w:val="auto"/>
                <w:kern w:val="0"/>
                <w:sz w:val="18"/>
                <w:szCs w:val="18"/>
              </w:rPr>
              <w:t>　工贸企业实施有限空间作业前,应当将有限空间作业方案和作业现场可能存在的危险有害因素、防控措施告知作业人员。现场负责人应当监督作业人员按照方案进行作业准备。</w:t>
            </w:r>
          </w:p>
        </w:tc>
        <w:tc>
          <w:tcPr>
            <w:tcW w:w="336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（2）设置明显安全警示标志和清仓、维修作业流程的图片；</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（3）作业审批记录资料；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（4）安全绳、 安全帽及防毒用品、急救用品和正压呼吸器等劳动保护用品配备情况及产品合格证书；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（5）监护人员上岗记录表或类似资料；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（6）作业过程记录资料；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（7）吸风口设置相关资料；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（8）专项安全培训资料、培训计划、培训签到表、培训录音录像等相关资料；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现</w:t>
            </w:r>
            <w:r>
              <w:rPr>
                <w:rFonts w:hint="eastAsia" w:ascii="Times New Roman" w:hAnsi="Times New Roman" w:eastAsia="仿宋_GB2312"/>
                <w:color w:val="auto"/>
                <w:kern w:val="0"/>
                <w:sz w:val="18"/>
                <w:szCs w:val="18"/>
              </w:rPr>
              <w:t>场图片或影像资料；</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（10）《现场检查记录》《责令限期整改指令书》等相关执法文书；</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（11）企业相关人员任职文件、身份证明及其询问笔录；</w:t>
            </w:r>
          </w:p>
          <w:p>
            <w:pPr>
              <w:keepNext w:val="0"/>
              <w:keepLines w:val="0"/>
              <w:pageBreakBefore w:val="0"/>
              <w:widowControl/>
              <w:kinsoku/>
              <w:wordWrap/>
              <w:overflowPunct/>
              <w:topLinePunct w:val="0"/>
              <w:autoSpaceDE/>
              <w:autoSpaceDN/>
              <w:bidi w:val="0"/>
              <w:adjustRightInd w:val="0"/>
              <w:snapToGrid w:val="0"/>
              <w:spacing w:line="240" w:lineRule="exact"/>
              <w:textAlignment w:val="auto"/>
              <w:outlineLvl w:val="9"/>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（12）其它相关证据。</w:t>
            </w:r>
          </w:p>
        </w:tc>
        <w:tc>
          <w:tcPr>
            <w:tcW w:w="4419" w:type="dxa"/>
            <w:noWrap w:val="0"/>
            <w:vAlign w:val="center"/>
          </w:tcPr>
          <w:p>
            <w:pPr>
              <w:widowControl/>
              <w:adjustRightInd w:val="0"/>
              <w:snapToGrid w:val="0"/>
              <w:spacing w:line="200" w:lineRule="exact"/>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widowControl/>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tc>
        <w:tc>
          <w:tcPr>
            <w:tcW w:w="950" w:type="dxa"/>
            <w:noWrap w:val="0"/>
            <w:vAlign w:val="center"/>
          </w:tcPr>
          <w:p>
            <w:pPr>
              <w:widowControl/>
              <w:adjustRightInd w:val="0"/>
              <w:snapToGrid w:val="0"/>
              <w:spacing w:line="20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165" w:type="dxa"/>
            <w:gridSpan w:val="7"/>
            <w:noWrap w:val="0"/>
            <w:vAlign w:val="center"/>
          </w:tcPr>
          <w:p>
            <w:pPr>
              <w:widowControl/>
              <w:numPr>
                <w:ilvl w:val="0"/>
                <w:numId w:val="0"/>
              </w:numPr>
              <w:adjustRightInd w:val="0"/>
              <w:snapToGrid w:val="0"/>
              <w:spacing w:line="200" w:lineRule="exact"/>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 证照及资料有正副本的，均核验留存复印件。</w:t>
            </w:r>
          </w:p>
          <w:p>
            <w:pPr>
              <w:widowControl/>
              <w:numPr>
                <w:ilvl w:val="0"/>
                <w:numId w:val="0"/>
              </w:numPr>
              <w:adjustRightInd w:val="0"/>
              <w:snapToGrid w:val="0"/>
              <w:spacing w:line="200" w:lineRule="exact"/>
              <w:ind w:firstLine="900" w:firstLineChars="500"/>
              <w:rPr>
                <w:rFonts w:ascii="Times New Roman" w:hAnsi="Times New Roman"/>
                <w:color w:val="auto"/>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baseline"/>
        <w:outlineLvl w:val="9"/>
        <w:rPr>
          <w:rFonts w:hint="eastAsia" w:ascii="黑体" w:hAnsi="黑体" w:eastAsia="黑体" w:cs="黑体"/>
          <w:sz w:val="44"/>
          <w:szCs w:val="44"/>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pacing w:line="440" w:lineRule="exact"/>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新区</w:t>
      </w:r>
      <w:r>
        <w:rPr>
          <w:rFonts w:hint="eastAsia" w:ascii="方正小标宋简体" w:hAnsi="方正小标宋简体" w:eastAsia="方正小标宋简体" w:cs="方正小标宋简体"/>
          <w:sz w:val="44"/>
          <w:szCs w:val="44"/>
        </w:rPr>
        <w:t>安全生产</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创安2021</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监管执法专项行动统计汇总表</w:t>
      </w:r>
    </w:p>
    <w:p>
      <w:pPr>
        <w:keepNext w:val="0"/>
        <w:keepLines w:val="0"/>
        <w:pageBreakBefore w:val="0"/>
        <w:widowControl w:val="0"/>
        <w:kinsoku/>
        <w:wordWrap/>
        <w:overflowPunct/>
        <w:topLinePunct w:val="0"/>
        <w:autoSpaceDE/>
        <w:autoSpaceDN/>
        <w:bidi w:val="0"/>
        <w:adjustRightInd/>
        <w:spacing w:line="440" w:lineRule="exact"/>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（2021年6月至  月）</w:t>
      </w:r>
    </w:p>
    <w:p>
      <w:pPr>
        <w:spacing w:line="550" w:lineRule="exact"/>
        <w:jc w:val="center"/>
        <w:textAlignment w:val="baseline"/>
        <w:rPr>
          <w:b/>
          <w:sz w:val="44"/>
          <w:szCs w:val="44"/>
        </w:rPr>
      </w:pPr>
      <w:r>
        <w:rPr>
          <w:rFonts w:eastAsia="仿宋"/>
          <w:sz w:val="32"/>
          <w:szCs w:val="32"/>
        </w:rPr>
        <w:t>填报单位：XX单位</w:t>
      </w:r>
      <w:r>
        <w:rPr>
          <w:rFonts w:hint="eastAsia" w:eastAsia="仿宋"/>
          <w:sz w:val="32"/>
          <w:szCs w:val="32"/>
          <w:lang w:val="en-US" w:eastAsia="zh-CN"/>
        </w:rPr>
        <w:t xml:space="preserve">  </w:t>
      </w:r>
      <w:r>
        <w:rPr>
          <w:rFonts w:eastAsia="仿宋"/>
          <w:sz w:val="32"/>
          <w:szCs w:val="32"/>
        </w:rPr>
        <w:t xml:space="preserve">                                             填报时间：</w:t>
      </w:r>
    </w:p>
    <w:tbl>
      <w:tblPr>
        <w:tblStyle w:val="5"/>
        <w:tblW w:w="15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87"/>
        <w:gridCol w:w="413"/>
        <w:gridCol w:w="738"/>
        <w:gridCol w:w="850"/>
        <w:gridCol w:w="567"/>
        <w:gridCol w:w="567"/>
        <w:gridCol w:w="567"/>
        <w:gridCol w:w="567"/>
        <w:gridCol w:w="567"/>
        <w:gridCol w:w="567"/>
        <w:gridCol w:w="567"/>
        <w:gridCol w:w="1879"/>
        <w:gridCol w:w="540"/>
        <w:gridCol w:w="870"/>
        <w:gridCol w:w="682"/>
        <w:gridCol w:w="708"/>
        <w:gridCol w:w="635"/>
        <w:gridCol w:w="510"/>
        <w:gridCol w:w="750"/>
        <w:gridCol w:w="49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57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行业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领域</w:t>
            </w:r>
          </w:p>
        </w:tc>
        <w:tc>
          <w:tcPr>
            <w:tcW w:w="4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派出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检查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小组</w:t>
            </w:r>
          </w:p>
        </w:tc>
        <w:tc>
          <w:tcPr>
            <w:tcW w:w="7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出动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执法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人员</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聘用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安全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专家</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检查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企业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数量</w:t>
            </w:r>
          </w:p>
        </w:tc>
        <w:tc>
          <w:tcPr>
            <w:tcW w:w="17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发现隐患数量</w:t>
            </w:r>
          </w:p>
        </w:tc>
        <w:tc>
          <w:tcPr>
            <w:tcW w:w="17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已整改隐患数量</w:t>
            </w:r>
          </w:p>
        </w:tc>
        <w:tc>
          <w:tcPr>
            <w:tcW w:w="18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现场紧急处置</w:t>
            </w:r>
          </w:p>
        </w:tc>
        <w:tc>
          <w:tcPr>
            <w:tcW w:w="343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行政处罚</w:t>
            </w:r>
          </w:p>
        </w:tc>
        <w:tc>
          <w:tcPr>
            <w:tcW w:w="5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下达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执法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文书</w:t>
            </w: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进行曝光（附曝光报道记录）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1320" w:type="dxa"/>
            <w:gridSpan w:val="2"/>
            <w:vMerge w:val="restart"/>
            <w:noWrap w:val="0"/>
            <w:vAlign w:val="center"/>
          </w:tcPr>
          <w:p>
            <w:pPr>
              <w:keepNext w:val="0"/>
              <w:keepLines w:val="0"/>
              <w:pageBreakBefore w:val="0"/>
              <w:widowControl w:val="0"/>
              <w:tabs>
                <w:tab w:val="center" w:pos="530"/>
              </w:tabs>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移交案件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7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4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7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总计</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重大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隐患</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一般隐患</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总计</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重大隐患</w:t>
            </w:r>
          </w:p>
        </w:tc>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一般隐患</w:t>
            </w:r>
          </w:p>
        </w:tc>
        <w:tc>
          <w:tcPr>
            <w:tcW w:w="18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含暂扣许可证、暂时停产停业、暂时停止建设（使用设备）、停止供电、停止使用民爆物品等处置措施</w:t>
            </w:r>
          </w:p>
        </w:tc>
        <w:tc>
          <w:tcPr>
            <w:tcW w:w="5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立案</w:t>
            </w:r>
          </w:p>
        </w:tc>
        <w:tc>
          <w:tcPr>
            <w:tcW w:w="8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处罚款</w:t>
            </w:r>
          </w:p>
        </w:tc>
        <w:tc>
          <w:tcPr>
            <w:tcW w:w="6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提请关闭</w:t>
            </w:r>
          </w:p>
        </w:tc>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吊销许可证</w:t>
            </w:r>
          </w:p>
        </w:tc>
        <w:tc>
          <w:tcPr>
            <w:tcW w:w="6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责令停产停业</w:t>
            </w:r>
          </w:p>
        </w:tc>
        <w:tc>
          <w:tcPr>
            <w:tcW w:w="5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13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57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4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7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1879" w:type="dxa"/>
            <w:vMerge w:val="continue"/>
            <w:noWrap w:val="0"/>
            <w:vAlign w:val="center"/>
          </w:tcPr>
          <w:p>
            <w:pPr>
              <w:keepNext w:val="0"/>
              <w:keepLines w:val="0"/>
              <w:pageBreakBefore w:val="0"/>
              <w:widowControl w:val="0"/>
              <w:tabs>
                <w:tab w:val="center" w:pos="530"/>
              </w:tabs>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6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6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5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一般移交</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楷体_GB2312"/>
                <w:sz w:val="20"/>
                <w:szCs w:val="21"/>
              </w:rPr>
            </w:pPr>
            <w:r>
              <w:rPr>
                <w:rFonts w:eastAsia="楷体_GB2312"/>
                <w:szCs w:val="21"/>
              </w:rPr>
              <w:t>涉及行刑衔接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blHeader/>
          <w:jc w:val="center"/>
        </w:trPr>
        <w:tc>
          <w:tcPr>
            <w:tcW w:w="157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个</w:t>
            </w:r>
          </w:p>
        </w:tc>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人次</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人次</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家</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项</w:t>
            </w:r>
          </w:p>
        </w:tc>
        <w:tc>
          <w:tcPr>
            <w:tcW w:w="18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家</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起</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万元</w:t>
            </w:r>
          </w:p>
        </w:tc>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家</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个</w:t>
            </w:r>
          </w:p>
        </w:tc>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家</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份</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次</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起</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outlineLvl w:val="9"/>
              <w:rPr>
                <w:rFonts w:eastAsia="仿宋_GB2312"/>
                <w:sz w:val="20"/>
                <w:szCs w:val="21"/>
              </w:rPr>
            </w:pPr>
            <w:r>
              <w:rPr>
                <w:rFonts w:eastAsia="仿宋_GB2312"/>
                <w:szCs w:val="21"/>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blHeader/>
          <w:jc w:val="center"/>
        </w:trPr>
        <w:tc>
          <w:tcPr>
            <w:tcW w:w="1579" w:type="dxa"/>
            <w:gridSpan w:val="2"/>
            <w:noWrap w:val="0"/>
            <w:vAlign w:val="center"/>
          </w:tcPr>
          <w:p>
            <w:pPr>
              <w:spacing w:line="300" w:lineRule="exact"/>
              <w:jc w:val="center"/>
              <w:textAlignment w:val="baseline"/>
              <w:rPr>
                <w:rFonts w:eastAsia="仿宋_GB2312"/>
                <w:sz w:val="20"/>
                <w:szCs w:val="21"/>
              </w:rPr>
            </w:pPr>
            <w:r>
              <w:rPr>
                <w:rFonts w:eastAsia="仿宋_GB2312"/>
                <w:szCs w:val="21"/>
              </w:rPr>
              <w:t>煤矿</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15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r>
              <w:rPr>
                <w:rFonts w:eastAsia="仿宋_GB2312"/>
                <w:szCs w:val="21"/>
              </w:rPr>
              <w:t>非煤矿山</w:t>
            </w:r>
            <w:r>
              <w:rPr>
                <w:rFonts w:hint="eastAsia" w:eastAsia="仿宋_GB2312"/>
                <w:szCs w:val="21"/>
              </w:rPr>
              <w:t>（含尾矿库）</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187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870"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682"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708"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635"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baseline"/>
              <w:outlineLvl w:val="9"/>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00" w:lineRule="exact"/>
              <w:jc w:val="center"/>
              <w:textAlignment w:val="baseline"/>
              <w:rPr>
                <w:rFonts w:eastAsia="仿宋_GB2312"/>
                <w:sz w:val="20"/>
                <w:szCs w:val="21"/>
              </w:rPr>
            </w:pPr>
            <w:r>
              <w:rPr>
                <w:rFonts w:eastAsia="仿宋_GB2312"/>
                <w:szCs w:val="21"/>
              </w:rPr>
              <w:t>危化品</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00" w:lineRule="exact"/>
              <w:jc w:val="center"/>
              <w:textAlignment w:val="baseline"/>
              <w:rPr>
                <w:rFonts w:eastAsia="仿宋_GB2312"/>
                <w:sz w:val="20"/>
                <w:szCs w:val="21"/>
              </w:rPr>
            </w:pPr>
            <w:r>
              <w:rPr>
                <w:rFonts w:eastAsia="仿宋_GB2312"/>
                <w:szCs w:val="21"/>
              </w:rPr>
              <w:t>烟花爆竹</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2" w:type="dxa"/>
            <w:vMerge w:val="restart"/>
            <w:noWrap w:val="0"/>
            <w:vAlign w:val="center"/>
          </w:tcPr>
          <w:p>
            <w:pPr>
              <w:spacing w:line="300" w:lineRule="exact"/>
              <w:jc w:val="center"/>
              <w:textAlignment w:val="baseline"/>
              <w:rPr>
                <w:rFonts w:eastAsia="仿宋_GB2312"/>
                <w:sz w:val="20"/>
                <w:szCs w:val="21"/>
              </w:rPr>
            </w:pPr>
            <w:r>
              <w:rPr>
                <w:rFonts w:eastAsia="仿宋_GB2312"/>
                <w:szCs w:val="21"/>
              </w:rPr>
              <w:t>工贸行业</w:t>
            </w:r>
          </w:p>
        </w:tc>
        <w:tc>
          <w:tcPr>
            <w:tcW w:w="1187" w:type="dxa"/>
            <w:noWrap w:val="0"/>
            <w:vAlign w:val="center"/>
          </w:tcPr>
          <w:p>
            <w:pPr>
              <w:spacing w:line="300" w:lineRule="exact"/>
              <w:jc w:val="center"/>
              <w:textAlignment w:val="baseline"/>
              <w:rPr>
                <w:rFonts w:eastAsia="仿宋_GB2312"/>
                <w:sz w:val="20"/>
                <w:szCs w:val="21"/>
              </w:rPr>
            </w:pPr>
            <w:r>
              <w:rPr>
                <w:rFonts w:eastAsia="仿宋_GB2312"/>
                <w:szCs w:val="21"/>
              </w:rPr>
              <w:t>冶金</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2" w:type="dxa"/>
            <w:vMerge w:val="continue"/>
            <w:noWrap w:val="0"/>
            <w:vAlign w:val="center"/>
          </w:tcPr>
          <w:p>
            <w:pPr>
              <w:spacing w:line="300" w:lineRule="exact"/>
              <w:jc w:val="center"/>
              <w:textAlignment w:val="baseline"/>
              <w:rPr>
                <w:rFonts w:eastAsia="仿宋_GB2312"/>
                <w:sz w:val="20"/>
                <w:szCs w:val="21"/>
              </w:rPr>
            </w:pPr>
          </w:p>
        </w:tc>
        <w:tc>
          <w:tcPr>
            <w:tcW w:w="1187" w:type="dxa"/>
            <w:noWrap w:val="0"/>
            <w:vAlign w:val="center"/>
          </w:tcPr>
          <w:p>
            <w:pPr>
              <w:spacing w:line="300" w:lineRule="exact"/>
              <w:jc w:val="center"/>
              <w:textAlignment w:val="baseline"/>
              <w:rPr>
                <w:rFonts w:eastAsia="仿宋_GB2312"/>
                <w:sz w:val="20"/>
                <w:szCs w:val="21"/>
              </w:rPr>
            </w:pPr>
            <w:r>
              <w:rPr>
                <w:rFonts w:eastAsia="仿宋_GB2312"/>
                <w:szCs w:val="21"/>
              </w:rPr>
              <w:t>涉爆粉尘</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2" w:type="dxa"/>
            <w:vMerge w:val="continue"/>
            <w:noWrap w:val="0"/>
            <w:vAlign w:val="center"/>
          </w:tcPr>
          <w:p>
            <w:pPr>
              <w:spacing w:line="300" w:lineRule="exact"/>
              <w:jc w:val="center"/>
              <w:textAlignment w:val="baseline"/>
              <w:rPr>
                <w:rFonts w:eastAsia="仿宋_GB2312"/>
                <w:sz w:val="20"/>
                <w:szCs w:val="21"/>
              </w:rPr>
            </w:pPr>
          </w:p>
        </w:tc>
        <w:tc>
          <w:tcPr>
            <w:tcW w:w="1187" w:type="dxa"/>
            <w:noWrap w:val="0"/>
            <w:vAlign w:val="center"/>
          </w:tcPr>
          <w:p>
            <w:pPr>
              <w:spacing w:line="300" w:lineRule="exact"/>
              <w:jc w:val="center"/>
              <w:textAlignment w:val="baseline"/>
              <w:rPr>
                <w:rFonts w:eastAsia="仿宋_GB2312"/>
                <w:sz w:val="20"/>
                <w:szCs w:val="21"/>
              </w:rPr>
            </w:pPr>
            <w:r>
              <w:rPr>
                <w:rFonts w:eastAsia="仿宋_GB2312"/>
                <w:szCs w:val="21"/>
              </w:rPr>
              <w:t>铝加工（深井铸造）</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2" w:type="dxa"/>
            <w:vMerge w:val="continue"/>
            <w:noWrap w:val="0"/>
            <w:vAlign w:val="center"/>
          </w:tcPr>
          <w:p>
            <w:pPr>
              <w:spacing w:line="300" w:lineRule="exact"/>
              <w:jc w:val="center"/>
              <w:textAlignment w:val="baseline"/>
              <w:rPr>
                <w:rFonts w:eastAsia="仿宋_GB2312"/>
                <w:sz w:val="20"/>
                <w:szCs w:val="21"/>
              </w:rPr>
            </w:pPr>
          </w:p>
        </w:tc>
        <w:tc>
          <w:tcPr>
            <w:tcW w:w="1187" w:type="dxa"/>
            <w:noWrap w:val="0"/>
            <w:vAlign w:val="center"/>
          </w:tcPr>
          <w:p>
            <w:pPr>
              <w:spacing w:line="300" w:lineRule="exact"/>
              <w:jc w:val="center"/>
              <w:textAlignment w:val="baseline"/>
              <w:rPr>
                <w:rFonts w:eastAsia="仿宋_GB2312"/>
                <w:sz w:val="20"/>
                <w:szCs w:val="21"/>
              </w:rPr>
            </w:pPr>
            <w:r>
              <w:rPr>
                <w:rFonts w:eastAsia="仿宋_GB2312"/>
                <w:szCs w:val="21"/>
              </w:rPr>
              <w:t>有限空间</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92" w:type="dxa"/>
            <w:vMerge w:val="continue"/>
            <w:noWrap w:val="0"/>
            <w:vAlign w:val="center"/>
          </w:tcPr>
          <w:p>
            <w:pPr>
              <w:spacing w:line="300" w:lineRule="exact"/>
              <w:jc w:val="center"/>
              <w:textAlignment w:val="baseline"/>
              <w:rPr>
                <w:rFonts w:eastAsia="仿宋_GB2312"/>
                <w:sz w:val="20"/>
                <w:szCs w:val="21"/>
              </w:rPr>
            </w:pPr>
          </w:p>
        </w:tc>
        <w:tc>
          <w:tcPr>
            <w:tcW w:w="1187" w:type="dxa"/>
            <w:noWrap w:val="0"/>
            <w:vAlign w:val="center"/>
          </w:tcPr>
          <w:p>
            <w:pPr>
              <w:spacing w:line="300" w:lineRule="exact"/>
              <w:jc w:val="center"/>
              <w:textAlignment w:val="baseline"/>
              <w:rPr>
                <w:rFonts w:eastAsia="仿宋_GB2312"/>
                <w:szCs w:val="21"/>
              </w:rPr>
            </w:pPr>
            <w:r>
              <w:rPr>
                <w:rFonts w:hint="eastAsia" w:eastAsia="仿宋_GB2312"/>
                <w:szCs w:val="21"/>
              </w:rPr>
              <w:t>液氨制冷</w:t>
            </w:r>
          </w:p>
        </w:tc>
        <w:tc>
          <w:tcPr>
            <w:tcW w:w="413" w:type="dxa"/>
            <w:noWrap w:val="0"/>
            <w:vAlign w:val="center"/>
          </w:tcPr>
          <w:p>
            <w:pPr>
              <w:spacing w:line="300" w:lineRule="exact"/>
              <w:jc w:val="center"/>
              <w:textAlignment w:val="baseline"/>
              <w:rPr>
                <w:rFonts w:eastAsia="仿宋_GB2312"/>
                <w:sz w:val="20"/>
                <w:szCs w:val="21"/>
              </w:rPr>
            </w:pPr>
          </w:p>
        </w:tc>
        <w:tc>
          <w:tcPr>
            <w:tcW w:w="738" w:type="dxa"/>
            <w:noWrap w:val="0"/>
            <w:vAlign w:val="center"/>
          </w:tcPr>
          <w:p>
            <w:pPr>
              <w:spacing w:line="300" w:lineRule="exact"/>
              <w:jc w:val="center"/>
              <w:textAlignment w:val="baseline"/>
              <w:rPr>
                <w:rFonts w:eastAsia="仿宋_GB2312"/>
                <w:sz w:val="20"/>
                <w:szCs w:val="21"/>
              </w:rPr>
            </w:pPr>
          </w:p>
        </w:tc>
        <w:tc>
          <w:tcPr>
            <w:tcW w:w="850"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center"/>
          </w:tcPr>
          <w:p>
            <w:pPr>
              <w:spacing w:line="300" w:lineRule="exact"/>
              <w:jc w:val="center"/>
              <w:textAlignment w:val="baseline"/>
              <w:rPr>
                <w:rFonts w:eastAsia="仿宋_GB2312"/>
                <w:sz w:val="20"/>
                <w:szCs w:val="21"/>
              </w:rPr>
            </w:pPr>
          </w:p>
        </w:tc>
        <w:tc>
          <w:tcPr>
            <w:tcW w:w="567" w:type="dxa"/>
            <w:noWrap w:val="0"/>
            <w:vAlign w:val="top"/>
          </w:tcPr>
          <w:p>
            <w:pPr>
              <w:spacing w:line="30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00" w:lineRule="exact"/>
              <w:jc w:val="center"/>
              <w:textAlignment w:val="baseline"/>
              <w:rPr>
                <w:rFonts w:eastAsia="仿宋_GB2312"/>
                <w:sz w:val="20"/>
                <w:szCs w:val="21"/>
              </w:rPr>
            </w:pPr>
          </w:p>
        </w:tc>
        <w:tc>
          <w:tcPr>
            <w:tcW w:w="870" w:type="dxa"/>
            <w:noWrap w:val="0"/>
            <w:vAlign w:val="top"/>
          </w:tcPr>
          <w:p>
            <w:pPr>
              <w:spacing w:line="300" w:lineRule="exact"/>
              <w:jc w:val="center"/>
              <w:textAlignment w:val="baseline"/>
              <w:rPr>
                <w:rFonts w:eastAsia="仿宋_GB2312"/>
                <w:sz w:val="20"/>
                <w:szCs w:val="21"/>
              </w:rPr>
            </w:pPr>
          </w:p>
        </w:tc>
        <w:tc>
          <w:tcPr>
            <w:tcW w:w="682" w:type="dxa"/>
            <w:noWrap w:val="0"/>
            <w:vAlign w:val="top"/>
          </w:tcPr>
          <w:p>
            <w:pPr>
              <w:spacing w:line="300" w:lineRule="exact"/>
              <w:jc w:val="center"/>
              <w:textAlignment w:val="baseline"/>
              <w:rPr>
                <w:rFonts w:eastAsia="仿宋_GB2312"/>
                <w:sz w:val="20"/>
                <w:szCs w:val="21"/>
              </w:rPr>
            </w:pPr>
          </w:p>
        </w:tc>
        <w:tc>
          <w:tcPr>
            <w:tcW w:w="708" w:type="dxa"/>
            <w:noWrap w:val="0"/>
            <w:vAlign w:val="top"/>
          </w:tcPr>
          <w:p>
            <w:pPr>
              <w:spacing w:line="300" w:lineRule="exact"/>
              <w:jc w:val="center"/>
              <w:textAlignment w:val="baseline"/>
              <w:rPr>
                <w:rFonts w:eastAsia="仿宋_GB2312"/>
                <w:sz w:val="20"/>
                <w:szCs w:val="21"/>
              </w:rPr>
            </w:pPr>
          </w:p>
        </w:tc>
        <w:tc>
          <w:tcPr>
            <w:tcW w:w="635" w:type="dxa"/>
            <w:noWrap w:val="0"/>
            <w:vAlign w:val="top"/>
          </w:tcPr>
          <w:p>
            <w:pPr>
              <w:spacing w:line="300" w:lineRule="exact"/>
              <w:jc w:val="center"/>
              <w:textAlignment w:val="baseline"/>
              <w:rPr>
                <w:rFonts w:eastAsia="仿宋_GB2312"/>
                <w:sz w:val="20"/>
                <w:szCs w:val="21"/>
              </w:rPr>
            </w:pPr>
          </w:p>
        </w:tc>
        <w:tc>
          <w:tcPr>
            <w:tcW w:w="510" w:type="dxa"/>
            <w:noWrap w:val="0"/>
            <w:vAlign w:val="center"/>
          </w:tcPr>
          <w:p>
            <w:pPr>
              <w:spacing w:line="300" w:lineRule="exact"/>
              <w:jc w:val="center"/>
              <w:textAlignment w:val="baseline"/>
              <w:rPr>
                <w:rFonts w:eastAsia="仿宋_GB2312"/>
                <w:sz w:val="20"/>
                <w:szCs w:val="21"/>
              </w:rPr>
            </w:pPr>
          </w:p>
        </w:tc>
        <w:tc>
          <w:tcPr>
            <w:tcW w:w="750" w:type="dxa"/>
            <w:noWrap w:val="0"/>
            <w:vAlign w:val="center"/>
          </w:tcPr>
          <w:p>
            <w:pPr>
              <w:spacing w:line="300" w:lineRule="exact"/>
              <w:jc w:val="center"/>
              <w:textAlignment w:val="baseline"/>
              <w:rPr>
                <w:rFonts w:eastAsia="仿宋_GB2312"/>
                <w:sz w:val="20"/>
                <w:szCs w:val="21"/>
              </w:rPr>
            </w:pPr>
          </w:p>
        </w:tc>
        <w:tc>
          <w:tcPr>
            <w:tcW w:w="495" w:type="dxa"/>
            <w:noWrap w:val="0"/>
            <w:vAlign w:val="center"/>
          </w:tcPr>
          <w:p>
            <w:pPr>
              <w:spacing w:line="300" w:lineRule="exact"/>
              <w:jc w:val="center"/>
              <w:textAlignment w:val="baseline"/>
              <w:rPr>
                <w:rFonts w:eastAsia="仿宋_GB2312"/>
                <w:sz w:val="20"/>
                <w:szCs w:val="21"/>
              </w:rPr>
            </w:pPr>
          </w:p>
        </w:tc>
        <w:tc>
          <w:tcPr>
            <w:tcW w:w="825" w:type="dxa"/>
            <w:noWrap w:val="0"/>
            <w:vAlign w:val="center"/>
          </w:tcPr>
          <w:p>
            <w:pPr>
              <w:spacing w:line="30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60" w:lineRule="exact"/>
              <w:jc w:val="center"/>
              <w:textAlignment w:val="baseline"/>
              <w:rPr>
                <w:rFonts w:eastAsia="仿宋_GB2312"/>
                <w:sz w:val="20"/>
                <w:szCs w:val="21"/>
              </w:rPr>
            </w:pPr>
            <w:r>
              <w:rPr>
                <w:rFonts w:eastAsia="仿宋_GB2312"/>
                <w:szCs w:val="21"/>
              </w:rPr>
              <w:t>道路交通</w:t>
            </w:r>
          </w:p>
        </w:tc>
        <w:tc>
          <w:tcPr>
            <w:tcW w:w="413" w:type="dxa"/>
            <w:noWrap w:val="0"/>
            <w:vAlign w:val="center"/>
          </w:tcPr>
          <w:p>
            <w:pPr>
              <w:spacing w:line="360" w:lineRule="exact"/>
              <w:jc w:val="center"/>
              <w:textAlignment w:val="baseline"/>
              <w:rPr>
                <w:rFonts w:eastAsia="仿宋_GB2312"/>
                <w:sz w:val="20"/>
                <w:szCs w:val="21"/>
              </w:rPr>
            </w:pPr>
          </w:p>
        </w:tc>
        <w:tc>
          <w:tcPr>
            <w:tcW w:w="738" w:type="dxa"/>
            <w:noWrap w:val="0"/>
            <w:vAlign w:val="center"/>
          </w:tcPr>
          <w:p>
            <w:pPr>
              <w:spacing w:line="360" w:lineRule="exact"/>
              <w:jc w:val="center"/>
              <w:textAlignment w:val="baseline"/>
              <w:rPr>
                <w:rFonts w:eastAsia="仿宋_GB2312"/>
                <w:sz w:val="20"/>
                <w:szCs w:val="21"/>
              </w:rPr>
            </w:pPr>
          </w:p>
        </w:tc>
        <w:tc>
          <w:tcPr>
            <w:tcW w:w="850"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60" w:lineRule="exact"/>
              <w:jc w:val="center"/>
              <w:textAlignment w:val="baseline"/>
              <w:rPr>
                <w:rFonts w:eastAsia="仿宋_GB2312"/>
                <w:sz w:val="20"/>
                <w:szCs w:val="21"/>
              </w:rPr>
            </w:pPr>
          </w:p>
        </w:tc>
        <w:tc>
          <w:tcPr>
            <w:tcW w:w="870" w:type="dxa"/>
            <w:noWrap w:val="0"/>
            <w:vAlign w:val="top"/>
          </w:tcPr>
          <w:p>
            <w:pPr>
              <w:spacing w:line="360" w:lineRule="exact"/>
              <w:jc w:val="center"/>
              <w:textAlignment w:val="baseline"/>
              <w:rPr>
                <w:rFonts w:eastAsia="仿宋_GB2312"/>
                <w:sz w:val="20"/>
                <w:szCs w:val="21"/>
              </w:rPr>
            </w:pPr>
          </w:p>
        </w:tc>
        <w:tc>
          <w:tcPr>
            <w:tcW w:w="682" w:type="dxa"/>
            <w:noWrap w:val="0"/>
            <w:vAlign w:val="top"/>
          </w:tcPr>
          <w:p>
            <w:pPr>
              <w:spacing w:line="360" w:lineRule="exact"/>
              <w:jc w:val="center"/>
              <w:textAlignment w:val="baseline"/>
              <w:rPr>
                <w:rFonts w:eastAsia="仿宋_GB2312"/>
                <w:sz w:val="20"/>
                <w:szCs w:val="21"/>
              </w:rPr>
            </w:pPr>
          </w:p>
        </w:tc>
        <w:tc>
          <w:tcPr>
            <w:tcW w:w="708" w:type="dxa"/>
            <w:noWrap w:val="0"/>
            <w:vAlign w:val="top"/>
          </w:tcPr>
          <w:p>
            <w:pPr>
              <w:spacing w:line="360" w:lineRule="exact"/>
              <w:jc w:val="center"/>
              <w:textAlignment w:val="baseline"/>
              <w:rPr>
                <w:rFonts w:eastAsia="仿宋_GB2312"/>
                <w:sz w:val="20"/>
                <w:szCs w:val="21"/>
              </w:rPr>
            </w:pPr>
          </w:p>
        </w:tc>
        <w:tc>
          <w:tcPr>
            <w:tcW w:w="635" w:type="dxa"/>
            <w:noWrap w:val="0"/>
            <w:vAlign w:val="top"/>
          </w:tcPr>
          <w:p>
            <w:pPr>
              <w:spacing w:line="360" w:lineRule="exact"/>
              <w:jc w:val="center"/>
              <w:textAlignment w:val="baseline"/>
              <w:rPr>
                <w:rFonts w:eastAsia="仿宋_GB2312"/>
                <w:sz w:val="20"/>
                <w:szCs w:val="21"/>
              </w:rPr>
            </w:pPr>
          </w:p>
        </w:tc>
        <w:tc>
          <w:tcPr>
            <w:tcW w:w="510" w:type="dxa"/>
            <w:noWrap w:val="0"/>
            <w:vAlign w:val="center"/>
          </w:tcPr>
          <w:p>
            <w:pPr>
              <w:spacing w:line="360" w:lineRule="exact"/>
              <w:jc w:val="center"/>
              <w:textAlignment w:val="baseline"/>
              <w:rPr>
                <w:rFonts w:eastAsia="仿宋_GB2312"/>
                <w:sz w:val="20"/>
                <w:szCs w:val="21"/>
              </w:rPr>
            </w:pPr>
          </w:p>
        </w:tc>
        <w:tc>
          <w:tcPr>
            <w:tcW w:w="750" w:type="dxa"/>
            <w:noWrap w:val="0"/>
            <w:vAlign w:val="center"/>
          </w:tcPr>
          <w:p>
            <w:pPr>
              <w:spacing w:line="360" w:lineRule="exact"/>
              <w:jc w:val="center"/>
              <w:textAlignment w:val="baseline"/>
              <w:rPr>
                <w:rFonts w:eastAsia="仿宋_GB2312"/>
                <w:sz w:val="20"/>
                <w:szCs w:val="21"/>
              </w:rPr>
            </w:pPr>
          </w:p>
        </w:tc>
        <w:tc>
          <w:tcPr>
            <w:tcW w:w="495" w:type="dxa"/>
            <w:noWrap w:val="0"/>
            <w:vAlign w:val="center"/>
          </w:tcPr>
          <w:p>
            <w:pPr>
              <w:spacing w:line="360" w:lineRule="exact"/>
              <w:jc w:val="center"/>
              <w:textAlignment w:val="baseline"/>
              <w:rPr>
                <w:rFonts w:eastAsia="仿宋_GB2312"/>
                <w:sz w:val="20"/>
                <w:szCs w:val="21"/>
              </w:rPr>
            </w:pPr>
          </w:p>
        </w:tc>
        <w:tc>
          <w:tcPr>
            <w:tcW w:w="825" w:type="dxa"/>
            <w:noWrap w:val="0"/>
            <w:vAlign w:val="center"/>
          </w:tcPr>
          <w:p>
            <w:pPr>
              <w:spacing w:line="36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60" w:lineRule="exact"/>
              <w:jc w:val="center"/>
              <w:textAlignment w:val="baseline"/>
              <w:rPr>
                <w:rFonts w:eastAsia="仿宋_GB2312"/>
                <w:sz w:val="20"/>
                <w:szCs w:val="21"/>
              </w:rPr>
            </w:pPr>
            <w:r>
              <w:rPr>
                <w:rFonts w:eastAsia="仿宋_GB2312"/>
                <w:szCs w:val="21"/>
              </w:rPr>
              <w:t>建筑施工</w:t>
            </w:r>
          </w:p>
        </w:tc>
        <w:tc>
          <w:tcPr>
            <w:tcW w:w="413" w:type="dxa"/>
            <w:noWrap w:val="0"/>
            <w:vAlign w:val="center"/>
          </w:tcPr>
          <w:p>
            <w:pPr>
              <w:spacing w:line="360" w:lineRule="exact"/>
              <w:jc w:val="center"/>
              <w:textAlignment w:val="baseline"/>
              <w:rPr>
                <w:rFonts w:eastAsia="仿宋_GB2312"/>
                <w:sz w:val="20"/>
                <w:szCs w:val="21"/>
              </w:rPr>
            </w:pPr>
          </w:p>
        </w:tc>
        <w:tc>
          <w:tcPr>
            <w:tcW w:w="738" w:type="dxa"/>
            <w:noWrap w:val="0"/>
            <w:vAlign w:val="center"/>
          </w:tcPr>
          <w:p>
            <w:pPr>
              <w:spacing w:line="360" w:lineRule="exact"/>
              <w:jc w:val="center"/>
              <w:textAlignment w:val="baseline"/>
              <w:rPr>
                <w:rFonts w:eastAsia="仿宋_GB2312"/>
                <w:sz w:val="20"/>
                <w:szCs w:val="21"/>
              </w:rPr>
            </w:pPr>
          </w:p>
        </w:tc>
        <w:tc>
          <w:tcPr>
            <w:tcW w:w="850"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60" w:lineRule="exact"/>
              <w:jc w:val="center"/>
              <w:textAlignment w:val="baseline"/>
              <w:rPr>
                <w:rFonts w:eastAsia="仿宋_GB2312"/>
                <w:sz w:val="20"/>
                <w:szCs w:val="21"/>
              </w:rPr>
            </w:pPr>
          </w:p>
        </w:tc>
        <w:tc>
          <w:tcPr>
            <w:tcW w:w="870" w:type="dxa"/>
            <w:noWrap w:val="0"/>
            <w:vAlign w:val="top"/>
          </w:tcPr>
          <w:p>
            <w:pPr>
              <w:spacing w:line="360" w:lineRule="exact"/>
              <w:jc w:val="center"/>
              <w:textAlignment w:val="baseline"/>
              <w:rPr>
                <w:rFonts w:eastAsia="仿宋_GB2312"/>
                <w:sz w:val="20"/>
                <w:szCs w:val="21"/>
              </w:rPr>
            </w:pPr>
          </w:p>
        </w:tc>
        <w:tc>
          <w:tcPr>
            <w:tcW w:w="682" w:type="dxa"/>
            <w:noWrap w:val="0"/>
            <w:vAlign w:val="top"/>
          </w:tcPr>
          <w:p>
            <w:pPr>
              <w:spacing w:line="360" w:lineRule="exact"/>
              <w:jc w:val="center"/>
              <w:textAlignment w:val="baseline"/>
              <w:rPr>
                <w:rFonts w:eastAsia="仿宋_GB2312"/>
                <w:sz w:val="20"/>
                <w:szCs w:val="21"/>
              </w:rPr>
            </w:pPr>
          </w:p>
        </w:tc>
        <w:tc>
          <w:tcPr>
            <w:tcW w:w="708" w:type="dxa"/>
            <w:noWrap w:val="0"/>
            <w:vAlign w:val="top"/>
          </w:tcPr>
          <w:p>
            <w:pPr>
              <w:spacing w:line="360" w:lineRule="exact"/>
              <w:jc w:val="center"/>
              <w:textAlignment w:val="baseline"/>
              <w:rPr>
                <w:rFonts w:eastAsia="仿宋_GB2312"/>
                <w:sz w:val="20"/>
                <w:szCs w:val="21"/>
              </w:rPr>
            </w:pPr>
          </w:p>
        </w:tc>
        <w:tc>
          <w:tcPr>
            <w:tcW w:w="635" w:type="dxa"/>
            <w:noWrap w:val="0"/>
            <w:vAlign w:val="top"/>
          </w:tcPr>
          <w:p>
            <w:pPr>
              <w:spacing w:line="360" w:lineRule="exact"/>
              <w:jc w:val="center"/>
              <w:textAlignment w:val="baseline"/>
              <w:rPr>
                <w:rFonts w:eastAsia="仿宋_GB2312"/>
                <w:sz w:val="20"/>
                <w:szCs w:val="21"/>
              </w:rPr>
            </w:pPr>
          </w:p>
        </w:tc>
        <w:tc>
          <w:tcPr>
            <w:tcW w:w="510" w:type="dxa"/>
            <w:noWrap w:val="0"/>
            <w:vAlign w:val="center"/>
          </w:tcPr>
          <w:p>
            <w:pPr>
              <w:spacing w:line="360" w:lineRule="exact"/>
              <w:jc w:val="center"/>
              <w:textAlignment w:val="baseline"/>
              <w:rPr>
                <w:rFonts w:eastAsia="仿宋_GB2312"/>
                <w:sz w:val="20"/>
                <w:szCs w:val="21"/>
              </w:rPr>
            </w:pPr>
          </w:p>
        </w:tc>
        <w:tc>
          <w:tcPr>
            <w:tcW w:w="750" w:type="dxa"/>
            <w:noWrap w:val="0"/>
            <w:vAlign w:val="center"/>
          </w:tcPr>
          <w:p>
            <w:pPr>
              <w:spacing w:line="360" w:lineRule="exact"/>
              <w:jc w:val="center"/>
              <w:textAlignment w:val="baseline"/>
              <w:rPr>
                <w:rFonts w:eastAsia="仿宋_GB2312"/>
                <w:sz w:val="20"/>
                <w:szCs w:val="21"/>
              </w:rPr>
            </w:pPr>
          </w:p>
        </w:tc>
        <w:tc>
          <w:tcPr>
            <w:tcW w:w="495" w:type="dxa"/>
            <w:noWrap w:val="0"/>
            <w:vAlign w:val="center"/>
          </w:tcPr>
          <w:p>
            <w:pPr>
              <w:spacing w:line="360" w:lineRule="exact"/>
              <w:jc w:val="center"/>
              <w:textAlignment w:val="baseline"/>
              <w:rPr>
                <w:rFonts w:eastAsia="仿宋_GB2312"/>
                <w:sz w:val="20"/>
                <w:szCs w:val="21"/>
              </w:rPr>
            </w:pPr>
          </w:p>
        </w:tc>
        <w:tc>
          <w:tcPr>
            <w:tcW w:w="825" w:type="dxa"/>
            <w:noWrap w:val="0"/>
            <w:vAlign w:val="center"/>
          </w:tcPr>
          <w:p>
            <w:pPr>
              <w:spacing w:line="36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60" w:lineRule="exact"/>
              <w:jc w:val="center"/>
              <w:textAlignment w:val="baseline"/>
              <w:rPr>
                <w:rFonts w:eastAsia="仿宋_GB2312"/>
                <w:sz w:val="20"/>
                <w:szCs w:val="21"/>
              </w:rPr>
            </w:pPr>
            <w:r>
              <w:rPr>
                <w:rFonts w:eastAsia="仿宋_GB2312"/>
                <w:szCs w:val="21"/>
              </w:rPr>
              <w:t>市场监管</w:t>
            </w:r>
          </w:p>
        </w:tc>
        <w:tc>
          <w:tcPr>
            <w:tcW w:w="413" w:type="dxa"/>
            <w:noWrap w:val="0"/>
            <w:vAlign w:val="center"/>
          </w:tcPr>
          <w:p>
            <w:pPr>
              <w:spacing w:line="360" w:lineRule="exact"/>
              <w:jc w:val="center"/>
              <w:textAlignment w:val="baseline"/>
              <w:rPr>
                <w:rFonts w:eastAsia="仿宋_GB2312"/>
                <w:sz w:val="20"/>
                <w:szCs w:val="21"/>
              </w:rPr>
            </w:pPr>
          </w:p>
        </w:tc>
        <w:tc>
          <w:tcPr>
            <w:tcW w:w="738" w:type="dxa"/>
            <w:noWrap w:val="0"/>
            <w:vAlign w:val="center"/>
          </w:tcPr>
          <w:p>
            <w:pPr>
              <w:spacing w:line="360" w:lineRule="exact"/>
              <w:jc w:val="center"/>
              <w:textAlignment w:val="baseline"/>
              <w:rPr>
                <w:rFonts w:eastAsia="仿宋_GB2312"/>
                <w:sz w:val="20"/>
                <w:szCs w:val="21"/>
              </w:rPr>
            </w:pPr>
          </w:p>
        </w:tc>
        <w:tc>
          <w:tcPr>
            <w:tcW w:w="850"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60" w:lineRule="exact"/>
              <w:jc w:val="center"/>
              <w:textAlignment w:val="baseline"/>
              <w:rPr>
                <w:rFonts w:eastAsia="仿宋_GB2312"/>
                <w:sz w:val="20"/>
                <w:szCs w:val="21"/>
              </w:rPr>
            </w:pPr>
          </w:p>
        </w:tc>
        <w:tc>
          <w:tcPr>
            <w:tcW w:w="870" w:type="dxa"/>
            <w:noWrap w:val="0"/>
            <w:vAlign w:val="top"/>
          </w:tcPr>
          <w:p>
            <w:pPr>
              <w:spacing w:line="360" w:lineRule="exact"/>
              <w:jc w:val="center"/>
              <w:textAlignment w:val="baseline"/>
              <w:rPr>
                <w:rFonts w:eastAsia="仿宋_GB2312"/>
                <w:sz w:val="20"/>
                <w:szCs w:val="21"/>
              </w:rPr>
            </w:pPr>
          </w:p>
        </w:tc>
        <w:tc>
          <w:tcPr>
            <w:tcW w:w="682" w:type="dxa"/>
            <w:noWrap w:val="0"/>
            <w:vAlign w:val="top"/>
          </w:tcPr>
          <w:p>
            <w:pPr>
              <w:spacing w:line="360" w:lineRule="exact"/>
              <w:jc w:val="center"/>
              <w:textAlignment w:val="baseline"/>
              <w:rPr>
                <w:rFonts w:eastAsia="仿宋_GB2312"/>
                <w:sz w:val="20"/>
                <w:szCs w:val="21"/>
              </w:rPr>
            </w:pPr>
          </w:p>
        </w:tc>
        <w:tc>
          <w:tcPr>
            <w:tcW w:w="708" w:type="dxa"/>
            <w:noWrap w:val="0"/>
            <w:vAlign w:val="top"/>
          </w:tcPr>
          <w:p>
            <w:pPr>
              <w:spacing w:line="360" w:lineRule="exact"/>
              <w:jc w:val="center"/>
              <w:textAlignment w:val="baseline"/>
              <w:rPr>
                <w:rFonts w:eastAsia="仿宋_GB2312"/>
                <w:sz w:val="20"/>
                <w:szCs w:val="21"/>
              </w:rPr>
            </w:pPr>
          </w:p>
        </w:tc>
        <w:tc>
          <w:tcPr>
            <w:tcW w:w="635" w:type="dxa"/>
            <w:noWrap w:val="0"/>
            <w:vAlign w:val="top"/>
          </w:tcPr>
          <w:p>
            <w:pPr>
              <w:spacing w:line="360" w:lineRule="exact"/>
              <w:jc w:val="center"/>
              <w:textAlignment w:val="baseline"/>
              <w:rPr>
                <w:rFonts w:eastAsia="仿宋_GB2312"/>
                <w:sz w:val="20"/>
                <w:szCs w:val="21"/>
              </w:rPr>
            </w:pPr>
          </w:p>
        </w:tc>
        <w:tc>
          <w:tcPr>
            <w:tcW w:w="510" w:type="dxa"/>
            <w:noWrap w:val="0"/>
            <w:vAlign w:val="center"/>
          </w:tcPr>
          <w:p>
            <w:pPr>
              <w:spacing w:line="360" w:lineRule="exact"/>
              <w:jc w:val="center"/>
              <w:textAlignment w:val="baseline"/>
              <w:rPr>
                <w:rFonts w:eastAsia="仿宋_GB2312"/>
                <w:sz w:val="20"/>
                <w:szCs w:val="21"/>
              </w:rPr>
            </w:pPr>
          </w:p>
        </w:tc>
        <w:tc>
          <w:tcPr>
            <w:tcW w:w="750" w:type="dxa"/>
            <w:noWrap w:val="0"/>
            <w:vAlign w:val="center"/>
          </w:tcPr>
          <w:p>
            <w:pPr>
              <w:spacing w:line="360" w:lineRule="exact"/>
              <w:jc w:val="center"/>
              <w:textAlignment w:val="baseline"/>
              <w:rPr>
                <w:rFonts w:eastAsia="仿宋_GB2312"/>
                <w:sz w:val="20"/>
                <w:szCs w:val="21"/>
              </w:rPr>
            </w:pPr>
          </w:p>
        </w:tc>
        <w:tc>
          <w:tcPr>
            <w:tcW w:w="495" w:type="dxa"/>
            <w:noWrap w:val="0"/>
            <w:vAlign w:val="center"/>
          </w:tcPr>
          <w:p>
            <w:pPr>
              <w:spacing w:line="360" w:lineRule="exact"/>
              <w:jc w:val="center"/>
              <w:textAlignment w:val="baseline"/>
              <w:rPr>
                <w:rFonts w:eastAsia="仿宋_GB2312"/>
                <w:sz w:val="20"/>
                <w:szCs w:val="21"/>
              </w:rPr>
            </w:pPr>
          </w:p>
        </w:tc>
        <w:tc>
          <w:tcPr>
            <w:tcW w:w="825" w:type="dxa"/>
            <w:noWrap w:val="0"/>
            <w:vAlign w:val="center"/>
          </w:tcPr>
          <w:p>
            <w:pPr>
              <w:spacing w:line="36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60" w:lineRule="exact"/>
              <w:jc w:val="center"/>
              <w:textAlignment w:val="baseline"/>
              <w:rPr>
                <w:rFonts w:eastAsia="仿宋_GB2312"/>
                <w:sz w:val="20"/>
                <w:szCs w:val="21"/>
              </w:rPr>
            </w:pPr>
            <w:r>
              <w:rPr>
                <w:rFonts w:eastAsia="仿宋_GB2312"/>
                <w:szCs w:val="21"/>
              </w:rPr>
              <w:t>......</w:t>
            </w:r>
          </w:p>
        </w:tc>
        <w:tc>
          <w:tcPr>
            <w:tcW w:w="413" w:type="dxa"/>
            <w:noWrap w:val="0"/>
            <w:vAlign w:val="center"/>
          </w:tcPr>
          <w:p>
            <w:pPr>
              <w:spacing w:line="360" w:lineRule="exact"/>
              <w:jc w:val="center"/>
              <w:textAlignment w:val="baseline"/>
              <w:rPr>
                <w:rFonts w:eastAsia="仿宋_GB2312"/>
                <w:sz w:val="20"/>
                <w:szCs w:val="21"/>
              </w:rPr>
            </w:pPr>
          </w:p>
        </w:tc>
        <w:tc>
          <w:tcPr>
            <w:tcW w:w="738" w:type="dxa"/>
            <w:noWrap w:val="0"/>
            <w:vAlign w:val="center"/>
          </w:tcPr>
          <w:p>
            <w:pPr>
              <w:spacing w:line="360" w:lineRule="exact"/>
              <w:jc w:val="center"/>
              <w:textAlignment w:val="baseline"/>
              <w:rPr>
                <w:rFonts w:eastAsia="仿宋_GB2312"/>
                <w:sz w:val="20"/>
                <w:szCs w:val="21"/>
              </w:rPr>
            </w:pPr>
          </w:p>
        </w:tc>
        <w:tc>
          <w:tcPr>
            <w:tcW w:w="850"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60" w:lineRule="exact"/>
              <w:jc w:val="center"/>
              <w:textAlignment w:val="baseline"/>
              <w:rPr>
                <w:rFonts w:eastAsia="仿宋_GB2312"/>
                <w:sz w:val="20"/>
                <w:szCs w:val="21"/>
              </w:rPr>
            </w:pPr>
          </w:p>
        </w:tc>
        <w:tc>
          <w:tcPr>
            <w:tcW w:w="870" w:type="dxa"/>
            <w:noWrap w:val="0"/>
            <w:vAlign w:val="top"/>
          </w:tcPr>
          <w:p>
            <w:pPr>
              <w:spacing w:line="360" w:lineRule="exact"/>
              <w:jc w:val="center"/>
              <w:textAlignment w:val="baseline"/>
              <w:rPr>
                <w:rFonts w:eastAsia="仿宋_GB2312"/>
                <w:sz w:val="20"/>
                <w:szCs w:val="21"/>
              </w:rPr>
            </w:pPr>
          </w:p>
        </w:tc>
        <w:tc>
          <w:tcPr>
            <w:tcW w:w="682" w:type="dxa"/>
            <w:noWrap w:val="0"/>
            <w:vAlign w:val="top"/>
          </w:tcPr>
          <w:p>
            <w:pPr>
              <w:spacing w:line="360" w:lineRule="exact"/>
              <w:jc w:val="center"/>
              <w:textAlignment w:val="baseline"/>
              <w:rPr>
                <w:rFonts w:eastAsia="仿宋_GB2312"/>
                <w:sz w:val="20"/>
                <w:szCs w:val="21"/>
              </w:rPr>
            </w:pPr>
          </w:p>
        </w:tc>
        <w:tc>
          <w:tcPr>
            <w:tcW w:w="708" w:type="dxa"/>
            <w:noWrap w:val="0"/>
            <w:vAlign w:val="top"/>
          </w:tcPr>
          <w:p>
            <w:pPr>
              <w:spacing w:line="360" w:lineRule="exact"/>
              <w:jc w:val="center"/>
              <w:textAlignment w:val="baseline"/>
              <w:rPr>
                <w:rFonts w:eastAsia="仿宋_GB2312"/>
                <w:sz w:val="20"/>
                <w:szCs w:val="21"/>
              </w:rPr>
            </w:pPr>
          </w:p>
        </w:tc>
        <w:tc>
          <w:tcPr>
            <w:tcW w:w="635" w:type="dxa"/>
            <w:noWrap w:val="0"/>
            <w:vAlign w:val="top"/>
          </w:tcPr>
          <w:p>
            <w:pPr>
              <w:spacing w:line="360" w:lineRule="exact"/>
              <w:jc w:val="center"/>
              <w:textAlignment w:val="baseline"/>
              <w:rPr>
                <w:rFonts w:eastAsia="仿宋_GB2312"/>
                <w:sz w:val="20"/>
                <w:szCs w:val="21"/>
              </w:rPr>
            </w:pPr>
          </w:p>
        </w:tc>
        <w:tc>
          <w:tcPr>
            <w:tcW w:w="510" w:type="dxa"/>
            <w:noWrap w:val="0"/>
            <w:vAlign w:val="center"/>
          </w:tcPr>
          <w:p>
            <w:pPr>
              <w:spacing w:line="360" w:lineRule="exact"/>
              <w:jc w:val="center"/>
              <w:textAlignment w:val="baseline"/>
              <w:rPr>
                <w:rFonts w:eastAsia="仿宋_GB2312"/>
                <w:sz w:val="20"/>
                <w:szCs w:val="21"/>
              </w:rPr>
            </w:pPr>
          </w:p>
        </w:tc>
        <w:tc>
          <w:tcPr>
            <w:tcW w:w="750" w:type="dxa"/>
            <w:noWrap w:val="0"/>
            <w:vAlign w:val="center"/>
          </w:tcPr>
          <w:p>
            <w:pPr>
              <w:spacing w:line="360" w:lineRule="exact"/>
              <w:jc w:val="center"/>
              <w:textAlignment w:val="baseline"/>
              <w:rPr>
                <w:rFonts w:eastAsia="仿宋_GB2312"/>
                <w:sz w:val="20"/>
                <w:szCs w:val="21"/>
              </w:rPr>
            </w:pPr>
          </w:p>
        </w:tc>
        <w:tc>
          <w:tcPr>
            <w:tcW w:w="495" w:type="dxa"/>
            <w:noWrap w:val="0"/>
            <w:vAlign w:val="center"/>
          </w:tcPr>
          <w:p>
            <w:pPr>
              <w:spacing w:line="360" w:lineRule="exact"/>
              <w:jc w:val="center"/>
              <w:textAlignment w:val="baseline"/>
              <w:rPr>
                <w:rFonts w:eastAsia="仿宋_GB2312"/>
                <w:sz w:val="20"/>
                <w:szCs w:val="21"/>
              </w:rPr>
            </w:pPr>
          </w:p>
        </w:tc>
        <w:tc>
          <w:tcPr>
            <w:tcW w:w="825" w:type="dxa"/>
            <w:noWrap w:val="0"/>
            <w:vAlign w:val="center"/>
          </w:tcPr>
          <w:p>
            <w:pPr>
              <w:spacing w:line="360" w:lineRule="exact"/>
              <w:jc w:val="center"/>
              <w:textAlignment w:val="baseline"/>
              <w:rPr>
                <w:rFonts w:eastAsia="仿宋_GB231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79" w:type="dxa"/>
            <w:gridSpan w:val="2"/>
            <w:noWrap w:val="0"/>
            <w:vAlign w:val="center"/>
          </w:tcPr>
          <w:p>
            <w:pPr>
              <w:spacing w:line="360" w:lineRule="exact"/>
              <w:jc w:val="center"/>
              <w:textAlignment w:val="baseline"/>
              <w:rPr>
                <w:rFonts w:eastAsia="仿宋_GB2312"/>
                <w:sz w:val="20"/>
                <w:szCs w:val="21"/>
              </w:rPr>
            </w:pPr>
            <w:r>
              <w:rPr>
                <w:rFonts w:eastAsia="仿宋_GB2312"/>
                <w:szCs w:val="21"/>
              </w:rPr>
              <w:t>合  计</w:t>
            </w:r>
          </w:p>
        </w:tc>
        <w:tc>
          <w:tcPr>
            <w:tcW w:w="413" w:type="dxa"/>
            <w:noWrap w:val="0"/>
            <w:vAlign w:val="center"/>
          </w:tcPr>
          <w:p>
            <w:pPr>
              <w:spacing w:line="360" w:lineRule="exact"/>
              <w:jc w:val="center"/>
              <w:textAlignment w:val="baseline"/>
              <w:rPr>
                <w:rFonts w:eastAsia="仿宋_GB2312"/>
                <w:sz w:val="20"/>
                <w:szCs w:val="21"/>
              </w:rPr>
            </w:pPr>
          </w:p>
        </w:tc>
        <w:tc>
          <w:tcPr>
            <w:tcW w:w="738" w:type="dxa"/>
            <w:noWrap w:val="0"/>
            <w:vAlign w:val="center"/>
          </w:tcPr>
          <w:p>
            <w:pPr>
              <w:spacing w:line="360" w:lineRule="exact"/>
              <w:jc w:val="center"/>
              <w:textAlignment w:val="baseline"/>
              <w:rPr>
                <w:rFonts w:eastAsia="仿宋_GB2312"/>
                <w:sz w:val="20"/>
                <w:szCs w:val="21"/>
              </w:rPr>
            </w:pPr>
          </w:p>
        </w:tc>
        <w:tc>
          <w:tcPr>
            <w:tcW w:w="850"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center"/>
          </w:tcPr>
          <w:p>
            <w:pPr>
              <w:spacing w:line="360" w:lineRule="exact"/>
              <w:jc w:val="center"/>
              <w:textAlignment w:val="baseline"/>
              <w:rPr>
                <w:rFonts w:eastAsia="仿宋_GB2312"/>
                <w:sz w:val="20"/>
                <w:szCs w:val="21"/>
              </w:rPr>
            </w:pPr>
          </w:p>
        </w:tc>
        <w:tc>
          <w:tcPr>
            <w:tcW w:w="567" w:type="dxa"/>
            <w:noWrap w:val="0"/>
            <w:vAlign w:val="top"/>
          </w:tcPr>
          <w:p>
            <w:pPr>
              <w:spacing w:line="360" w:lineRule="exact"/>
              <w:jc w:val="center"/>
              <w:textAlignment w:val="baseline"/>
              <w:rPr>
                <w:rFonts w:eastAsia="仿宋_GB2312"/>
                <w:sz w:val="20"/>
                <w:szCs w:val="21"/>
              </w:rPr>
            </w:pPr>
          </w:p>
        </w:tc>
        <w:tc>
          <w:tcPr>
            <w:tcW w:w="1879" w:type="dxa"/>
            <w:noWrap w:val="0"/>
            <w:vAlign w:val="center"/>
          </w:tcPr>
          <w:p>
            <w:pPr>
              <w:spacing w:line="300" w:lineRule="exact"/>
              <w:jc w:val="center"/>
              <w:textAlignment w:val="baseline"/>
              <w:rPr>
                <w:rFonts w:eastAsia="仿宋_GB2312"/>
                <w:sz w:val="20"/>
                <w:szCs w:val="21"/>
              </w:rPr>
            </w:pPr>
          </w:p>
        </w:tc>
        <w:tc>
          <w:tcPr>
            <w:tcW w:w="540" w:type="dxa"/>
            <w:noWrap w:val="0"/>
            <w:vAlign w:val="center"/>
          </w:tcPr>
          <w:p>
            <w:pPr>
              <w:spacing w:line="360" w:lineRule="exact"/>
              <w:jc w:val="center"/>
              <w:textAlignment w:val="baseline"/>
              <w:rPr>
                <w:rFonts w:eastAsia="仿宋_GB2312"/>
                <w:sz w:val="20"/>
                <w:szCs w:val="21"/>
              </w:rPr>
            </w:pPr>
          </w:p>
        </w:tc>
        <w:tc>
          <w:tcPr>
            <w:tcW w:w="870" w:type="dxa"/>
            <w:noWrap w:val="0"/>
            <w:vAlign w:val="top"/>
          </w:tcPr>
          <w:p>
            <w:pPr>
              <w:spacing w:line="360" w:lineRule="exact"/>
              <w:jc w:val="center"/>
              <w:textAlignment w:val="baseline"/>
              <w:rPr>
                <w:rFonts w:eastAsia="仿宋_GB2312"/>
                <w:sz w:val="20"/>
                <w:szCs w:val="21"/>
              </w:rPr>
            </w:pPr>
          </w:p>
        </w:tc>
        <w:tc>
          <w:tcPr>
            <w:tcW w:w="682" w:type="dxa"/>
            <w:noWrap w:val="0"/>
            <w:vAlign w:val="top"/>
          </w:tcPr>
          <w:p>
            <w:pPr>
              <w:spacing w:line="360" w:lineRule="exact"/>
              <w:jc w:val="center"/>
              <w:textAlignment w:val="baseline"/>
              <w:rPr>
                <w:rFonts w:eastAsia="仿宋_GB2312"/>
                <w:sz w:val="20"/>
                <w:szCs w:val="21"/>
              </w:rPr>
            </w:pPr>
          </w:p>
        </w:tc>
        <w:tc>
          <w:tcPr>
            <w:tcW w:w="708" w:type="dxa"/>
            <w:noWrap w:val="0"/>
            <w:vAlign w:val="top"/>
          </w:tcPr>
          <w:p>
            <w:pPr>
              <w:spacing w:line="360" w:lineRule="exact"/>
              <w:jc w:val="center"/>
              <w:textAlignment w:val="baseline"/>
              <w:rPr>
                <w:rFonts w:eastAsia="仿宋_GB2312"/>
                <w:sz w:val="20"/>
                <w:szCs w:val="21"/>
              </w:rPr>
            </w:pPr>
          </w:p>
        </w:tc>
        <w:tc>
          <w:tcPr>
            <w:tcW w:w="635" w:type="dxa"/>
            <w:noWrap w:val="0"/>
            <w:vAlign w:val="top"/>
          </w:tcPr>
          <w:p>
            <w:pPr>
              <w:spacing w:line="360" w:lineRule="exact"/>
              <w:jc w:val="center"/>
              <w:textAlignment w:val="baseline"/>
              <w:rPr>
                <w:rFonts w:eastAsia="仿宋_GB2312"/>
                <w:sz w:val="20"/>
                <w:szCs w:val="21"/>
              </w:rPr>
            </w:pPr>
          </w:p>
        </w:tc>
        <w:tc>
          <w:tcPr>
            <w:tcW w:w="510" w:type="dxa"/>
            <w:noWrap w:val="0"/>
            <w:vAlign w:val="center"/>
          </w:tcPr>
          <w:p>
            <w:pPr>
              <w:spacing w:line="360" w:lineRule="exact"/>
              <w:jc w:val="center"/>
              <w:textAlignment w:val="baseline"/>
              <w:rPr>
                <w:rFonts w:eastAsia="仿宋_GB2312"/>
                <w:sz w:val="20"/>
                <w:szCs w:val="21"/>
              </w:rPr>
            </w:pPr>
          </w:p>
        </w:tc>
        <w:tc>
          <w:tcPr>
            <w:tcW w:w="750" w:type="dxa"/>
            <w:noWrap w:val="0"/>
            <w:vAlign w:val="center"/>
          </w:tcPr>
          <w:p>
            <w:pPr>
              <w:spacing w:line="360" w:lineRule="exact"/>
              <w:jc w:val="center"/>
              <w:textAlignment w:val="baseline"/>
              <w:rPr>
                <w:rFonts w:eastAsia="仿宋_GB2312"/>
                <w:sz w:val="20"/>
                <w:szCs w:val="21"/>
              </w:rPr>
            </w:pPr>
          </w:p>
        </w:tc>
        <w:tc>
          <w:tcPr>
            <w:tcW w:w="495" w:type="dxa"/>
            <w:noWrap w:val="0"/>
            <w:vAlign w:val="center"/>
          </w:tcPr>
          <w:p>
            <w:pPr>
              <w:spacing w:line="360" w:lineRule="exact"/>
              <w:jc w:val="center"/>
              <w:textAlignment w:val="baseline"/>
              <w:rPr>
                <w:rFonts w:eastAsia="仿宋_GB2312"/>
                <w:sz w:val="20"/>
                <w:szCs w:val="21"/>
              </w:rPr>
            </w:pPr>
          </w:p>
        </w:tc>
        <w:tc>
          <w:tcPr>
            <w:tcW w:w="825" w:type="dxa"/>
            <w:noWrap w:val="0"/>
            <w:vAlign w:val="center"/>
          </w:tcPr>
          <w:p>
            <w:pPr>
              <w:spacing w:line="360" w:lineRule="exact"/>
              <w:jc w:val="center"/>
              <w:textAlignment w:val="baseline"/>
              <w:rPr>
                <w:rFonts w:eastAsia="仿宋_GB2312"/>
                <w:sz w:val="20"/>
                <w:szCs w:val="21"/>
              </w:rPr>
            </w:pP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outlineLvl w:val="9"/>
        <w:rPr>
          <w:sz w:val="20"/>
          <w:szCs w:val="22"/>
        </w:rPr>
      </w:pPr>
      <w:r>
        <w:rPr>
          <w:rFonts w:eastAsia="仿宋"/>
          <w:sz w:val="30"/>
          <w:szCs w:val="30"/>
        </w:rPr>
        <w:t>负责人：                                       填报人：                          联系电话：</w:t>
      </w:r>
    </w:p>
    <w:p>
      <w:pPr>
        <w:snapToGrid w:val="0"/>
        <w:spacing w:line="576" w:lineRule="exact"/>
        <w:textAlignment w:val="baseline"/>
        <w:rPr>
          <w:rFonts w:hint="eastAsia" w:ascii="黑体" w:hAnsi="黑体" w:eastAsia="黑体" w:cs="黑体"/>
          <w:sz w:val="32"/>
        </w:rPr>
      </w:pPr>
      <w:r>
        <w:br w:type="page"/>
      </w:r>
      <w:r>
        <w:rPr>
          <w:rFonts w:hint="eastAsia" w:ascii="黑体" w:hAnsi="黑体" w:eastAsia="黑体" w:cs="黑体"/>
          <w:sz w:val="32"/>
          <w:szCs w:val="32"/>
        </w:rPr>
        <w:t>附件3</w:t>
      </w:r>
    </w:p>
    <w:p>
      <w:pPr>
        <w:spacing w:line="550" w:lineRule="exact"/>
        <w:jc w:val="center"/>
        <w:textAlignment w:val="baseline"/>
        <w:rPr>
          <w:rFonts w:eastAsia="方正小标宋简体"/>
          <w:sz w:val="44"/>
          <w:szCs w:val="44"/>
        </w:rPr>
      </w:pPr>
    </w:p>
    <w:p>
      <w:pPr>
        <w:spacing w:line="55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新区</w:t>
      </w:r>
      <w:r>
        <w:rPr>
          <w:rFonts w:hint="eastAsia" w:ascii="方正小标宋简体" w:hAnsi="方正小标宋简体" w:eastAsia="方正小标宋简体" w:cs="方正小标宋简体"/>
          <w:sz w:val="44"/>
          <w:szCs w:val="44"/>
        </w:rPr>
        <w:t>安全生产</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创安2021</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监管执法专项行动专职联络员</w:t>
      </w:r>
    </w:p>
    <w:p>
      <w:pPr>
        <w:spacing w:line="55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统计表</w:t>
      </w:r>
    </w:p>
    <w:p>
      <w:pPr>
        <w:spacing w:line="550" w:lineRule="exact"/>
        <w:jc w:val="center"/>
        <w:textAlignment w:val="baseline"/>
        <w:rPr>
          <w:rFonts w:eastAsia="方正小标宋简体"/>
          <w:sz w:val="44"/>
          <w:szCs w:val="44"/>
        </w:rPr>
      </w:pPr>
    </w:p>
    <w:p>
      <w:pPr>
        <w:spacing w:line="576" w:lineRule="exact"/>
        <w:ind w:firstLine="2240" w:firstLineChars="700"/>
        <w:textAlignment w:val="baseline"/>
        <w:rPr>
          <w:rFonts w:eastAsia="仿宋"/>
          <w:b/>
          <w:sz w:val="32"/>
          <w:szCs w:val="32"/>
        </w:rPr>
      </w:pPr>
      <w:r>
        <w:rPr>
          <w:rFonts w:eastAsia="仿宋"/>
          <w:sz w:val="32"/>
          <w:szCs w:val="32"/>
        </w:rPr>
        <w:t>填表单位：XX单位</w:t>
      </w:r>
      <w:r>
        <w:rPr>
          <w:rFonts w:hint="eastAsia" w:eastAsia="仿宋"/>
          <w:sz w:val="32"/>
          <w:szCs w:val="32"/>
          <w:lang w:val="en-US" w:eastAsia="zh-CN"/>
        </w:rPr>
        <w:t xml:space="preserve">  </w:t>
      </w:r>
      <w:r>
        <w:rPr>
          <w:rFonts w:eastAsia="仿宋"/>
          <w:sz w:val="32"/>
          <w:szCs w:val="32"/>
        </w:rPr>
        <w:t xml:space="preserve">                        填表时间：</w:t>
      </w:r>
    </w:p>
    <w:tbl>
      <w:tblPr>
        <w:tblStyle w:val="5"/>
        <w:tblW w:w="13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1896"/>
        <w:gridCol w:w="1092"/>
        <w:gridCol w:w="5040"/>
        <w:gridCol w:w="212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序号</w:t>
            </w:r>
          </w:p>
        </w:tc>
        <w:tc>
          <w:tcPr>
            <w:tcW w:w="1896"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姓名</w:t>
            </w:r>
          </w:p>
        </w:tc>
        <w:tc>
          <w:tcPr>
            <w:tcW w:w="1092"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性别</w:t>
            </w:r>
          </w:p>
        </w:tc>
        <w:tc>
          <w:tcPr>
            <w:tcW w:w="5040"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工作单位及职务</w:t>
            </w: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手机号码</w:t>
            </w: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仿宋"/>
                <w:sz w:val="28"/>
                <w:szCs w:val="28"/>
              </w:rPr>
            </w:pPr>
            <w:r>
              <w:rPr>
                <w:rFonts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sz w:val="24"/>
                <w:szCs w:val="22"/>
              </w:rPr>
            </w:pPr>
            <w:r>
              <w:rPr>
                <w:sz w:val="24"/>
                <w:szCs w:val="22"/>
              </w:rPr>
              <w:t>1</w:t>
            </w:r>
          </w:p>
        </w:tc>
        <w:tc>
          <w:tcPr>
            <w:tcW w:w="189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1092"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5040"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sz w:val="24"/>
                <w:szCs w:val="22"/>
              </w:rPr>
            </w:pPr>
          </w:p>
        </w:tc>
        <w:tc>
          <w:tcPr>
            <w:tcW w:w="189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1092"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5040"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sz w:val="24"/>
                <w:szCs w:val="22"/>
              </w:rPr>
            </w:pPr>
          </w:p>
        </w:tc>
        <w:tc>
          <w:tcPr>
            <w:tcW w:w="189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1092"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5040"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189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1092"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5040"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c>
          <w:tcPr>
            <w:tcW w:w="2126" w:type="dxa"/>
            <w:tcBorders>
              <w:top w:val="single" w:color="000000" w:sz="4" w:space="0"/>
              <w:left w:val="nil"/>
              <w:bottom w:val="single" w:color="000000" w:sz="4" w:space="0"/>
              <w:right w:val="single" w:color="000000" w:sz="4" w:space="0"/>
            </w:tcBorders>
            <w:noWrap w:val="0"/>
            <w:vAlign w:val="center"/>
          </w:tcPr>
          <w:p>
            <w:pPr>
              <w:spacing w:line="576" w:lineRule="exact"/>
              <w:ind w:firstLine="480"/>
              <w:jc w:val="center"/>
              <w:textAlignment w:val="baseline"/>
              <w:rPr>
                <w:sz w:val="24"/>
                <w:szCs w:val="22"/>
              </w:rPr>
            </w:pPr>
          </w:p>
        </w:tc>
      </w:tr>
    </w:tbl>
    <w:p>
      <w:pPr>
        <w:spacing w:line="576" w:lineRule="exact"/>
        <w:ind w:firstLine="2240" w:firstLineChars="700"/>
        <w:textAlignment w:val="baseline"/>
        <w:rPr>
          <w:rFonts w:eastAsia="仿宋"/>
          <w:sz w:val="32"/>
          <w:szCs w:val="32"/>
        </w:rPr>
      </w:pPr>
      <w:r>
        <w:rPr>
          <w:rFonts w:eastAsia="仿宋"/>
          <w:sz w:val="32"/>
          <w:szCs w:val="32"/>
        </w:rPr>
        <w:t>审核人：                    填表人：               联系电话：</w:t>
      </w:r>
    </w:p>
    <w:p>
      <w:pPr>
        <w:spacing w:after="120"/>
        <w:textAlignment w:val="baseline"/>
        <w:rPr>
          <w:rFonts w:hint="eastAsia" w:ascii="黑体" w:hAnsi="黑体" w:eastAsia="黑体" w:cs="黑体"/>
          <w:sz w:val="32"/>
        </w:rPr>
      </w:pPr>
      <w:r>
        <w:br w:type="page"/>
      </w:r>
      <w:r>
        <w:rPr>
          <w:rFonts w:hint="eastAsia" w:ascii="黑体" w:hAnsi="黑体" w:eastAsia="黑体" w:cs="黑体"/>
          <w:sz w:val="32"/>
          <w:szCs w:val="32"/>
        </w:rPr>
        <w:t>附件4</w:t>
      </w:r>
    </w:p>
    <w:p>
      <w:pPr>
        <w:spacing w:line="550" w:lineRule="exact"/>
        <w:jc w:val="center"/>
        <w:textAlignment w:val="baseline"/>
        <w:rPr>
          <w:rFonts w:eastAsia="方正小标宋简体"/>
          <w:sz w:val="44"/>
          <w:szCs w:val="44"/>
        </w:rPr>
      </w:pPr>
    </w:p>
    <w:p>
      <w:pPr>
        <w:spacing w:line="55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XX行业重点检查企业名录库（模板）</w:t>
      </w:r>
    </w:p>
    <w:p>
      <w:pPr>
        <w:spacing w:line="576" w:lineRule="exact"/>
        <w:ind w:firstLine="1280" w:firstLineChars="400"/>
        <w:textAlignment w:val="baseline"/>
        <w:rPr>
          <w:rFonts w:eastAsia="仿宋"/>
          <w:sz w:val="32"/>
          <w:szCs w:val="32"/>
        </w:rPr>
      </w:pPr>
    </w:p>
    <w:p>
      <w:pPr>
        <w:spacing w:line="576" w:lineRule="exact"/>
        <w:ind w:firstLine="1280" w:firstLineChars="400"/>
        <w:textAlignment w:val="baseline"/>
        <w:rPr>
          <w:rFonts w:eastAsia="仿宋"/>
          <w:sz w:val="32"/>
          <w:szCs w:val="32"/>
        </w:rPr>
      </w:pPr>
      <w:r>
        <w:rPr>
          <w:rFonts w:eastAsia="仿宋"/>
          <w:sz w:val="32"/>
          <w:szCs w:val="32"/>
        </w:rPr>
        <w:t>填表单位：XX单位</w:t>
      </w:r>
      <w:r>
        <w:rPr>
          <w:rFonts w:hint="eastAsia" w:eastAsia="仿宋"/>
          <w:sz w:val="32"/>
          <w:szCs w:val="32"/>
          <w:lang w:val="en-US" w:eastAsia="zh-CN"/>
        </w:rPr>
        <w:t xml:space="preserve">            </w:t>
      </w:r>
      <w:r>
        <w:rPr>
          <w:rFonts w:eastAsia="仿宋"/>
          <w:sz w:val="32"/>
          <w:szCs w:val="32"/>
        </w:rPr>
        <w:t xml:space="preserve">                          填表时间：</w:t>
      </w:r>
    </w:p>
    <w:tbl>
      <w:tblPr>
        <w:tblStyle w:val="5"/>
        <w:tblW w:w="15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685"/>
        <w:gridCol w:w="1859"/>
        <w:gridCol w:w="1852"/>
        <w:gridCol w:w="1674"/>
        <w:gridCol w:w="1693"/>
        <w:gridCol w:w="1710"/>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序号</w:t>
            </w:r>
          </w:p>
        </w:tc>
        <w:tc>
          <w:tcPr>
            <w:tcW w:w="2685"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企业名称</w:t>
            </w:r>
          </w:p>
        </w:tc>
        <w:tc>
          <w:tcPr>
            <w:tcW w:w="1859"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企业性质</w:t>
            </w:r>
          </w:p>
        </w:tc>
        <w:tc>
          <w:tcPr>
            <w:tcW w:w="1852"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行政区域</w:t>
            </w: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行业类别</w:t>
            </w:r>
          </w:p>
        </w:tc>
        <w:tc>
          <w:tcPr>
            <w:tcW w:w="1693"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企业规模</w:t>
            </w:r>
          </w:p>
        </w:tc>
        <w:tc>
          <w:tcPr>
            <w:tcW w:w="1710"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隶属关系</w:t>
            </w:r>
          </w:p>
        </w:tc>
        <w:tc>
          <w:tcPr>
            <w:tcW w:w="2573" w:type="dxa"/>
            <w:tcBorders>
              <w:top w:val="single" w:color="000000" w:sz="4" w:space="0"/>
              <w:left w:val="nil"/>
              <w:bottom w:val="single" w:color="000000" w:sz="4" w:space="0"/>
              <w:right w:val="single" w:color="000000" w:sz="4" w:space="0"/>
            </w:tcBorders>
            <w:noWrap w:val="0"/>
            <w:vAlign w:val="top"/>
          </w:tcPr>
          <w:p>
            <w:pPr>
              <w:spacing w:line="576" w:lineRule="exact"/>
              <w:jc w:val="center"/>
              <w:textAlignment w:val="baseline"/>
              <w:rPr>
                <w:rFonts w:eastAsia="黑体"/>
                <w:sz w:val="28"/>
                <w:szCs w:val="28"/>
              </w:rPr>
            </w:pPr>
            <w:r>
              <w:rPr>
                <w:rFonts w:eastAsia="黑体"/>
                <w:sz w:val="28"/>
                <w:szCs w:val="28"/>
              </w:rPr>
              <w:t>主要风险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85"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59"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5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3"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71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73"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85"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59"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5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3"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71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73"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bl>
    <w:p>
      <w:pPr>
        <w:spacing w:line="576" w:lineRule="exact"/>
        <w:ind w:firstLine="1280" w:firstLineChars="400"/>
        <w:textAlignment w:val="baseline"/>
        <w:rPr>
          <w:rFonts w:eastAsia="仿宋"/>
          <w:sz w:val="32"/>
          <w:szCs w:val="32"/>
        </w:rPr>
      </w:pPr>
      <w:r>
        <w:rPr>
          <w:rFonts w:eastAsia="仿宋"/>
          <w:sz w:val="32"/>
          <w:szCs w:val="32"/>
        </w:rPr>
        <w:t>审核人：                    填表人：             联系电话：</w:t>
      </w:r>
    </w:p>
    <w:p>
      <w:pPr>
        <w:spacing w:line="520" w:lineRule="exact"/>
        <w:ind w:left="2396" w:leftChars="684" w:hanging="960" w:hangingChars="400"/>
        <w:textAlignment w:val="baseline"/>
        <w:rPr>
          <w:rFonts w:eastAsia="仿宋"/>
          <w:sz w:val="24"/>
          <w:szCs w:val="22"/>
        </w:rPr>
      </w:pPr>
      <w:r>
        <w:rPr>
          <w:rFonts w:eastAsia="仿宋"/>
          <w:sz w:val="24"/>
          <w:szCs w:val="22"/>
        </w:rPr>
        <w:t>说明：1.该名录库需按不同行业进行制定含道路交通、建筑施工、煤矿、</w:t>
      </w:r>
      <w:r>
        <w:rPr>
          <w:rFonts w:hint="eastAsia" w:eastAsia="仿宋"/>
          <w:sz w:val="24"/>
          <w:szCs w:val="22"/>
        </w:rPr>
        <w:t>金属非金属地下矿山、尾矿库</w:t>
      </w:r>
      <w:r>
        <w:rPr>
          <w:rFonts w:eastAsia="仿宋"/>
          <w:sz w:val="24"/>
          <w:szCs w:val="22"/>
        </w:rPr>
        <w:t>、排土场边坡高度200米以上的露天矿山、涉及“两重一大”的危化品生产（储存）单位</w:t>
      </w:r>
      <w:r>
        <w:rPr>
          <w:rFonts w:hint="eastAsia" w:eastAsia="仿宋"/>
          <w:sz w:val="24"/>
          <w:szCs w:val="22"/>
        </w:rPr>
        <w:t>、金属冶炼</w:t>
      </w:r>
      <w:r>
        <w:rPr>
          <w:rFonts w:eastAsia="仿宋"/>
          <w:sz w:val="24"/>
          <w:szCs w:val="22"/>
        </w:rPr>
        <w:t>、</w:t>
      </w:r>
      <w:r>
        <w:rPr>
          <w:rFonts w:hint="eastAsia" w:eastAsia="仿宋"/>
          <w:sz w:val="24"/>
          <w:szCs w:val="22"/>
        </w:rPr>
        <w:t>粉尘涉爆、有限空间、</w:t>
      </w:r>
      <w:r>
        <w:rPr>
          <w:rFonts w:eastAsia="仿宋"/>
          <w:sz w:val="24"/>
          <w:szCs w:val="22"/>
        </w:rPr>
        <w:t>液氨制冷</w:t>
      </w:r>
      <w:r>
        <w:rPr>
          <w:rFonts w:hint="eastAsia" w:eastAsia="仿宋"/>
          <w:sz w:val="24"/>
          <w:szCs w:val="22"/>
        </w:rPr>
        <w:t>、</w:t>
      </w:r>
      <w:r>
        <w:rPr>
          <w:rFonts w:eastAsia="仿宋"/>
          <w:sz w:val="24"/>
          <w:szCs w:val="22"/>
        </w:rPr>
        <w:t>烟花爆竹</w:t>
      </w:r>
      <w:r>
        <w:rPr>
          <w:rFonts w:hint="eastAsia" w:eastAsia="仿宋"/>
          <w:sz w:val="24"/>
          <w:szCs w:val="22"/>
        </w:rPr>
        <w:t>生产（批发）单位</w:t>
      </w:r>
      <w:r>
        <w:rPr>
          <w:rFonts w:eastAsia="仿宋"/>
          <w:sz w:val="24"/>
          <w:szCs w:val="22"/>
        </w:rPr>
        <w:t>、市场监管、文化旅游、民爆物品等；</w:t>
      </w:r>
    </w:p>
    <w:p>
      <w:pPr>
        <w:spacing w:line="520" w:lineRule="exact"/>
        <w:ind w:firstLine="1440" w:firstLineChars="600"/>
        <w:textAlignment w:val="baseline"/>
        <w:rPr>
          <w:rFonts w:eastAsia="仿宋"/>
          <w:sz w:val="24"/>
          <w:szCs w:val="22"/>
        </w:rPr>
      </w:pPr>
      <w:r>
        <w:rPr>
          <w:rFonts w:eastAsia="仿宋"/>
          <w:sz w:val="24"/>
          <w:szCs w:val="22"/>
        </w:rPr>
        <w:t xml:space="preserve">      2.企业性质须注明：国有（央属一级、二级，省属一级二级，市属、县属）、私营、个体等内容。</w:t>
      </w:r>
    </w:p>
    <w:p>
      <w:pPr>
        <w:snapToGrid w:val="0"/>
        <w:spacing w:line="576" w:lineRule="exact"/>
        <w:textAlignment w:val="baseline"/>
        <w:rPr>
          <w:rFonts w:hint="eastAsia" w:ascii="黑体" w:hAnsi="黑体" w:eastAsia="黑体" w:cs="黑体"/>
          <w:sz w:val="32"/>
          <w:lang w:val="en-US" w:eastAsia="zh-CN"/>
        </w:rPr>
      </w:pP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eastAsia="方正小标宋简体"/>
          <w:sz w:val="44"/>
          <w:szCs w:val="44"/>
        </w:rPr>
      </w:pPr>
    </w:p>
    <w:p>
      <w:pPr>
        <w:spacing w:line="55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XX行业一般检查企业名录库（模板）</w:t>
      </w:r>
    </w:p>
    <w:p>
      <w:pPr>
        <w:keepNext w:val="0"/>
        <w:keepLines w:val="0"/>
        <w:pageBreakBefore w:val="0"/>
        <w:widowControl w:val="0"/>
        <w:kinsoku/>
        <w:wordWrap/>
        <w:overflowPunct/>
        <w:topLinePunct w:val="0"/>
        <w:autoSpaceDE/>
        <w:autoSpaceDN/>
        <w:bidi w:val="0"/>
        <w:adjustRightInd/>
        <w:snapToGrid/>
        <w:spacing w:line="300" w:lineRule="exact"/>
        <w:ind w:firstLine="1280" w:firstLineChars="400"/>
        <w:textAlignment w:val="baseline"/>
        <w:rPr>
          <w:rFonts w:eastAsia="仿宋"/>
          <w:sz w:val="32"/>
          <w:szCs w:val="32"/>
        </w:rPr>
      </w:pPr>
    </w:p>
    <w:p>
      <w:pPr>
        <w:spacing w:line="576" w:lineRule="exact"/>
        <w:ind w:firstLine="1280" w:firstLineChars="400"/>
        <w:textAlignment w:val="baseline"/>
        <w:rPr>
          <w:rFonts w:eastAsia="仿宋"/>
          <w:sz w:val="32"/>
          <w:szCs w:val="32"/>
        </w:rPr>
      </w:pPr>
      <w:r>
        <w:rPr>
          <w:rFonts w:eastAsia="仿宋"/>
          <w:sz w:val="32"/>
          <w:szCs w:val="32"/>
        </w:rPr>
        <w:t>填表单位：XX单位</w:t>
      </w:r>
      <w:r>
        <w:rPr>
          <w:rFonts w:hint="eastAsia" w:eastAsia="仿宋"/>
          <w:sz w:val="32"/>
          <w:szCs w:val="32"/>
          <w:lang w:val="en-US" w:eastAsia="zh-CN"/>
        </w:rPr>
        <w:t xml:space="preserve">             </w:t>
      </w:r>
      <w:r>
        <w:rPr>
          <w:rFonts w:eastAsia="仿宋"/>
          <w:sz w:val="32"/>
          <w:szCs w:val="32"/>
        </w:rPr>
        <w:t xml:space="preserve">                         填表时间：</w:t>
      </w:r>
    </w:p>
    <w:tbl>
      <w:tblPr>
        <w:tblStyle w:val="5"/>
        <w:tblW w:w="14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2657"/>
        <w:gridCol w:w="1840"/>
        <w:gridCol w:w="1832"/>
        <w:gridCol w:w="1657"/>
        <w:gridCol w:w="1674"/>
        <w:gridCol w:w="1692"/>
        <w:gridCol w:w="2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序号</w:t>
            </w:r>
          </w:p>
        </w:tc>
        <w:tc>
          <w:tcPr>
            <w:tcW w:w="2657"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企业名称</w:t>
            </w:r>
          </w:p>
        </w:tc>
        <w:tc>
          <w:tcPr>
            <w:tcW w:w="1840"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企业性质</w:t>
            </w:r>
          </w:p>
        </w:tc>
        <w:tc>
          <w:tcPr>
            <w:tcW w:w="1832"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行政区域</w:t>
            </w:r>
          </w:p>
        </w:tc>
        <w:tc>
          <w:tcPr>
            <w:tcW w:w="1657"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行业类别</w:t>
            </w: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企业规模</w:t>
            </w:r>
          </w:p>
        </w:tc>
        <w:tc>
          <w:tcPr>
            <w:tcW w:w="1692" w:type="dxa"/>
            <w:tcBorders>
              <w:top w:val="single" w:color="000000" w:sz="4" w:space="0"/>
              <w:left w:val="nil"/>
              <w:bottom w:val="single" w:color="000000" w:sz="4" w:space="0"/>
              <w:right w:val="single" w:color="000000" w:sz="4" w:space="0"/>
            </w:tcBorders>
            <w:noWrap w:val="0"/>
            <w:vAlign w:val="center"/>
          </w:tcPr>
          <w:p>
            <w:pPr>
              <w:spacing w:line="576" w:lineRule="exact"/>
              <w:jc w:val="center"/>
              <w:textAlignment w:val="baseline"/>
              <w:rPr>
                <w:rFonts w:eastAsia="黑体"/>
                <w:sz w:val="28"/>
                <w:szCs w:val="28"/>
              </w:rPr>
            </w:pPr>
            <w:r>
              <w:rPr>
                <w:rFonts w:eastAsia="黑体"/>
                <w:sz w:val="28"/>
                <w:szCs w:val="28"/>
              </w:rPr>
              <w:t>隶属关系</w:t>
            </w:r>
          </w:p>
        </w:tc>
        <w:tc>
          <w:tcPr>
            <w:tcW w:w="2545" w:type="dxa"/>
            <w:tcBorders>
              <w:top w:val="single" w:color="000000" w:sz="4" w:space="0"/>
              <w:left w:val="nil"/>
              <w:bottom w:val="single" w:color="000000" w:sz="4" w:space="0"/>
              <w:right w:val="single" w:color="000000" w:sz="4" w:space="0"/>
            </w:tcBorders>
            <w:noWrap w:val="0"/>
            <w:vAlign w:val="top"/>
          </w:tcPr>
          <w:p>
            <w:pPr>
              <w:spacing w:line="576" w:lineRule="exact"/>
              <w:jc w:val="center"/>
              <w:textAlignment w:val="baseline"/>
              <w:rPr>
                <w:rFonts w:eastAsia="黑体"/>
                <w:sz w:val="28"/>
                <w:szCs w:val="28"/>
              </w:rPr>
            </w:pPr>
            <w:r>
              <w:rPr>
                <w:rFonts w:eastAsia="黑体"/>
                <w:sz w:val="28"/>
                <w:szCs w:val="28"/>
              </w:rPr>
              <w:t>主要风险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4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3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45"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4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3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45"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4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3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45"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40"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83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57"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74"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1692" w:type="dxa"/>
            <w:tcBorders>
              <w:top w:val="single" w:color="000000" w:sz="4" w:space="0"/>
              <w:left w:val="nil"/>
              <w:bottom w:val="single" w:color="000000" w:sz="4" w:space="0"/>
              <w:right w:val="single" w:color="000000" w:sz="4" w:space="0"/>
            </w:tcBorders>
            <w:noWrap w:val="0"/>
            <w:vAlign w:val="center"/>
          </w:tcPr>
          <w:p>
            <w:pPr>
              <w:spacing w:line="576" w:lineRule="exact"/>
              <w:ind w:firstLine="482"/>
              <w:jc w:val="center"/>
              <w:textAlignment w:val="baseline"/>
              <w:rPr>
                <w:b/>
                <w:sz w:val="24"/>
                <w:szCs w:val="22"/>
              </w:rPr>
            </w:pPr>
          </w:p>
        </w:tc>
        <w:tc>
          <w:tcPr>
            <w:tcW w:w="2545" w:type="dxa"/>
            <w:tcBorders>
              <w:top w:val="single" w:color="000000" w:sz="4" w:space="0"/>
              <w:left w:val="nil"/>
              <w:bottom w:val="single" w:color="000000" w:sz="4" w:space="0"/>
              <w:right w:val="single" w:color="000000" w:sz="4" w:space="0"/>
            </w:tcBorders>
            <w:noWrap w:val="0"/>
            <w:vAlign w:val="top"/>
          </w:tcPr>
          <w:p>
            <w:pPr>
              <w:spacing w:line="576" w:lineRule="exact"/>
              <w:ind w:firstLine="482"/>
              <w:jc w:val="center"/>
              <w:textAlignment w:val="baseline"/>
              <w:rPr>
                <w:b/>
                <w:sz w:val="24"/>
                <w:szCs w:val="22"/>
              </w:rPr>
            </w:pPr>
          </w:p>
        </w:tc>
      </w:tr>
    </w:tbl>
    <w:p>
      <w:pPr>
        <w:spacing w:line="576" w:lineRule="exact"/>
        <w:ind w:firstLine="1280" w:firstLineChars="400"/>
        <w:textAlignment w:val="baseline"/>
        <w:rPr>
          <w:rFonts w:eastAsia="仿宋"/>
          <w:sz w:val="32"/>
          <w:szCs w:val="32"/>
        </w:rPr>
      </w:pPr>
      <w:r>
        <w:rPr>
          <w:rFonts w:eastAsia="仿宋"/>
          <w:sz w:val="32"/>
          <w:szCs w:val="32"/>
        </w:rPr>
        <w:t>审核人：                    填表人：             联系电话：</w:t>
      </w:r>
    </w:p>
    <w:p>
      <w:pPr>
        <w:spacing w:line="520" w:lineRule="exact"/>
        <w:ind w:left="2319" w:leftChars="647" w:hanging="960" w:hangingChars="400"/>
        <w:textAlignment w:val="baseline"/>
        <w:rPr>
          <w:rFonts w:eastAsia="仿宋"/>
          <w:sz w:val="24"/>
          <w:szCs w:val="22"/>
        </w:rPr>
      </w:pPr>
      <w:r>
        <w:rPr>
          <w:rFonts w:eastAsia="仿宋"/>
          <w:sz w:val="24"/>
          <w:szCs w:val="22"/>
        </w:rPr>
        <w:t>说明：1.该名录库需按不同行业进行制定含道路交通、建筑施工、排土场边坡高度200米以</w:t>
      </w:r>
      <w:r>
        <w:rPr>
          <w:rFonts w:hint="eastAsia" w:eastAsia="仿宋"/>
          <w:sz w:val="24"/>
          <w:szCs w:val="22"/>
        </w:rPr>
        <w:t>内</w:t>
      </w:r>
      <w:r>
        <w:rPr>
          <w:rFonts w:eastAsia="仿宋"/>
          <w:sz w:val="24"/>
          <w:szCs w:val="22"/>
        </w:rPr>
        <w:t>的露天矿山、</w:t>
      </w:r>
      <w:r>
        <w:rPr>
          <w:rFonts w:hint="eastAsia" w:eastAsia="仿宋"/>
          <w:sz w:val="24"/>
          <w:szCs w:val="22"/>
        </w:rPr>
        <w:t>不</w:t>
      </w:r>
      <w:r>
        <w:rPr>
          <w:rFonts w:eastAsia="仿宋"/>
          <w:sz w:val="24"/>
          <w:szCs w:val="22"/>
        </w:rPr>
        <w:t>涉及“两重一大”的危化品生产（储存）单位、烟花爆竹</w:t>
      </w:r>
      <w:r>
        <w:rPr>
          <w:rFonts w:hint="eastAsia" w:eastAsia="仿宋"/>
          <w:sz w:val="24"/>
          <w:szCs w:val="22"/>
        </w:rPr>
        <w:t>经营（零售）单位</w:t>
      </w:r>
      <w:r>
        <w:rPr>
          <w:rFonts w:eastAsia="仿宋"/>
          <w:sz w:val="24"/>
          <w:szCs w:val="22"/>
        </w:rPr>
        <w:t>、</w:t>
      </w:r>
      <w:r>
        <w:rPr>
          <w:rFonts w:hint="eastAsia" w:eastAsia="仿宋"/>
          <w:sz w:val="24"/>
          <w:szCs w:val="22"/>
        </w:rPr>
        <w:t>工贸、</w:t>
      </w:r>
      <w:r>
        <w:rPr>
          <w:rFonts w:eastAsia="仿宋"/>
          <w:sz w:val="24"/>
          <w:szCs w:val="22"/>
        </w:rPr>
        <w:t>市场监管、文化旅游、民爆物品等；</w:t>
      </w:r>
    </w:p>
    <w:p>
      <w:pPr>
        <w:spacing w:line="520" w:lineRule="exact"/>
        <w:textAlignment w:val="baseline"/>
        <w:rPr>
          <w:rFonts w:eastAsia="仿宋"/>
          <w:sz w:val="24"/>
          <w:szCs w:val="22"/>
        </w:rPr>
      </w:pPr>
      <w:r>
        <w:rPr>
          <w:rFonts w:eastAsia="仿宋"/>
          <w:sz w:val="24"/>
          <w:szCs w:val="22"/>
        </w:rPr>
        <w:t xml:space="preserve">                  2.企业性质须注明：国有（央属一级、二级，省属一级二级，市属、县属）、私营、个体等内容。</w:t>
      </w:r>
    </w:p>
    <w:p>
      <w:pPr>
        <w:sectPr>
          <w:footerReference r:id="rId3" w:type="default"/>
          <w:pgSz w:w="16838" w:h="11906" w:orient="landscape"/>
          <w:pgMar w:top="1463" w:right="1463" w:bottom="1134" w:left="1463" w:header="283" w:footer="992" w:gutter="0"/>
          <w:pgNumType w:fmt="numberInDash"/>
          <w:cols w:space="0" w:num="1"/>
          <w:rtlGutter w:val="0"/>
          <w:docGrid w:linePitch="582" w:charSpace="0"/>
        </w:sectPr>
      </w:pPr>
    </w:p>
    <w:p>
      <w:pPr>
        <w:keepNext w:val="0"/>
        <w:keepLines w:val="0"/>
        <w:pageBreakBefore w:val="0"/>
        <w:widowControl w:val="0"/>
        <w:kinsoku/>
        <w:wordWrap/>
        <w:overflowPunct/>
        <w:topLinePunct w:val="0"/>
        <w:autoSpaceDE/>
        <w:autoSpaceDN/>
        <w:bidi w:val="0"/>
        <w:adjustRightInd/>
        <w:snapToGrid w:val="0"/>
        <w:spacing w:line="600" w:lineRule="exact"/>
        <w:textAlignment w:val="baseline"/>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baseline"/>
        <w:outlineLvl w:val="9"/>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XXX安全生产</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创安2021</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baseline"/>
        <w:outlineLvl w:val="9"/>
        <w:rPr>
          <w:rFonts w:eastAsia="方正小标宋简体"/>
          <w:sz w:val="44"/>
          <w:szCs w:val="44"/>
        </w:rPr>
      </w:pPr>
      <w:r>
        <w:rPr>
          <w:rFonts w:hint="eastAsia" w:ascii="方正小标宋简体" w:hAnsi="方正小标宋简体" w:eastAsia="方正小标宋简体" w:cs="方正小标宋简体"/>
          <w:sz w:val="44"/>
          <w:szCs w:val="44"/>
        </w:rPr>
        <w:t>监管执法专项行动实施方案（模板）</w:t>
      </w:r>
    </w:p>
    <w:p>
      <w:pPr>
        <w:keepNext w:val="0"/>
        <w:keepLines w:val="0"/>
        <w:pageBreakBefore w:val="0"/>
        <w:widowControl w:val="0"/>
        <w:kinsoku/>
        <w:wordWrap/>
        <w:overflowPunct/>
        <w:topLinePunct w:val="0"/>
        <w:autoSpaceDE/>
        <w:autoSpaceDN/>
        <w:bidi w:val="0"/>
        <w:adjustRightInd/>
        <w:snapToGrid w:val="0"/>
        <w:spacing w:line="600" w:lineRule="exact"/>
        <w:textAlignment w:val="baseline"/>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市安办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市安办</w:t>
      </w:r>
      <w:r>
        <w:rPr>
          <w:rFonts w:hint="eastAsia" w:ascii="仿宋_GB2312" w:hAnsi="仿宋_GB2312" w:eastAsia="仿宋_GB2312" w:cs="仿宋_GB2312"/>
          <w:sz w:val="32"/>
          <w:szCs w:val="32"/>
        </w:rPr>
        <w:t>XXX通知工作，现将《XXX安全生产“创安2021”监管执法专项行动实施方案》呈报如下：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黑体"/>
          <w:sz w:val="32"/>
          <w:szCs w:val="32"/>
        </w:rPr>
      </w:pPr>
      <w:r>
        <w:rPr>
          <w:rFonts w:eastAsia="黑体"/>
          <w:sz w:val="32"/>
          <w:szCs w:val="32"/>
        </w:rPr>
        <w:t>前言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黑体"/>
          <w:sz w:val="32"/>
          <w:szCs w:val="32"/>
        </w:rPr>
      </w:pPr>
      <w:r>
        <w:rPr>
          <w:rFonts w:eastAsia="黑体"/>
          <w:sz w:val="32"/>
          <w:szCs w:val="32"/>
        </w:rPr>
        <w:t>一、工作目标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仿宋"/>
          <w:sz w:val="32"/>
          <w:szCs w:val="32"/>
        </w:rPr>
      </w:pPr>
      <w:r>
        <w:rPr>
          <w:rFonts w:eastAsia="仿宋"/>
          <w:sz w:val="32"/>
          <w:szCs w:val="32"/>
        </w:rPr>
        <w:t>细化具体</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黑体"/>
          <w:sz w:val="32"/>
          <w:szCs w:val="32"/>
        </w:rPr>
      </w:pPr>
      <w:r>
        <w:rPr>
          <w:rFonts w:eastAsia="黑体"/>
          <w:sz w:val="32"/>
          <w:szCs w:val="32"/>
        </w:rPr>
        <w:t>二、监管执法组织方式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楷体_GB2312"/>
          <w:sz w:val="32"/>
          <w:szCs w:val="32"/>
        </w:rPr>
      </w:pPr>
      <w:r>
        <w:rPr>
          <w:rFonts w:eastAsia="楷体_GB2312"/>
          <w:sz w:val="32"/>
          <w:szCs w:val="32"/>
        </w:rPr>
        <w:t>（一）执法检查组的组成................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楷体_GB2312"/>
          <w:sz w:val="32"/>
          <w:szCs w:val="32"/>
        </w:rPr>
      </w:pPr>
      <w:r>
        <w:rPr>
          <w:rFonts w:eastAsia="楷体_GB2312"/>
          <w:sz w:val="32"/>
          <w:szCs w:val="32"/>
        </w:rPr>
        <w:t>（二）明确具体组织方式................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在执法检查时间段内，要明确细化每个月，组织多少执法组，组织几轮执法检查，每个组检查几家什么类型的企业，拟共检查企业数量等具体数据。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楷体_GB2312"/>
          <w:sz w:val="32"/>
          <w:szCs w:val="32"/>
        </w:rPr>
      </w:pPr>
      <w:r>
        <w:rPr>
          <w:rFonts w:eastAsia="楷体_GB2312"/>
          <w:sz w:val="32"/>
          <w:szCs w:val="32"/>
        </w:rPr>
        <w:t>（三）确定执法企业名录库原则............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楷体_GB2312"/>
          <w:sz w:val="32"/>
          <w:szCs w:val="32"/>
        </w:rPr>
      </w:pPr>
      <w:r>
        <w:rPr>
          <w:rFonts w:eastAsia="楷体_GB2312"/>
          <w:sz w:val="32"/>
          <w:szCs w:val="32"/>
        </w:rPr>
        <w:t>（四）工作标准....................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楷体_GB2312"/>
          <w:sz w:val="32"/>
          <w:szCs w:val="32"/>
        </w:rPr>
      </w:pPr>
      <w:r>
        <w:rPr>
          <w:rFonts w:eastAsia="楷体_GB2312"/>
          <w:sz w:val="32"/>
          <w:szCs w:val="32"/>
        </w:rPr>
        <w:t>（五）............................</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outlineLvl w:val="9"/>
        <w:rPr>
          <w:rFonts w:eastAsia="黑体"/>
          <w:sz w:val="32"/>
          <w:szCs w:val="32"/>
        </w:rPr>
      </w:pPr>
      <w:r>
        <w:rPr>
          <w:rFonts w:eastAsia="黑体"/>
          <w:sz w:val="32"/>
          <w:szCs w:val="32"/>
        </w:rPr>
        <w:t>三、执法检查组任务、职责分工、监察方式和程序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baseline"/>
        <w:outlineLvl w:val="9"/>
        <w:rPr>
          <w:rFonts w:eastAsia="楷体_GB2312"/>
          <w:sz w:val="32"/>
          <w:szCs w:val="32"/>
        </w:rPr>
      </w:pPr>
      <w:r>
        <w:rPr>
          <w:rFonts w:eastAsia="楷体_GB2312"/>
          <w:sz w:val="32"/>
          <w:szCs w:val="32"/>
        </w:rPr>
        <w:t>（一）...............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baseline"/>
        <w:outlineLvl w:val="9"/>
        <w:rPr>
          <w:rFonts w:eastAsia="楷体_GB2312"/>
          <w:sz w:val="32"/>
          <w:szCs w:val="32"/>
        </w:rPr>
        <w:sectPr>
          <w:footerReference r:id="rId7" w:type="first"/>
          <w:headerReference r:id="rId4" w:type="default"/>
          <w:footerReference r:id="rId5" w:type="default"/>
          <w:footerReference r:id="rId6" w:type="even"/>
          <w:pgSz w:w="11906" w:h="16838"/>
          <w:pgMar w:top="1463" w:right="1417" w:bottom="1463" w:left="1463" w:header="283" w:footer="1417" w:gutter="0"/>
          <w:pgNumType w:fmt="numberInDash"/>
          <w:cols w:space="0" w:num="1"/>
          <w:rtlGutter w:val="0"/>
          <w:docGrid w:linePitch="582" w:charSpace="0"/>
        </w:sect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baseline"/>
        <w:outlineLvl w:val="9"/>
        <w:rPr>
          <w:rFonts w:eastAsia="仿宋_GB2312"/>
          <w:sz w:val="32"/>
          <w:szCs w:val="32"/>
        </w:rPr>
      </w:pPr>
      <w:r>
        <w:rPr>
          <w:rFonts w:eastAsia="楷体_GB2312"/>
          <w:sz w:val="32"/>
          <w:szCs w:val="32"/>
        </w:rPr>
        <w:t>（二）.....................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outlineLvl w:val="9"/>
        <w:rPr>
          <w:rFonts w:eastAsia="黑体"/>
          <w:sz w:val="32"/>
          <w:szCs w:val="32"/>
        </w:rPr>
      </w:pPr>
      <w:r>
        <w:rPr>
          <w:rFonts w:eastAsia="黑体"/>
          <w:sz w:val="32"/>
          <w:szCs w:val="32"/>
        </w:rPr>
        <w:t>四、工作措施</w:t>
      </w:r>
    </w:p>
    <w:p>
      <w:pPr>
        <w:keepNext w:val="0"/>
        <w:keepLines w:val="0"/>
        <w:pageBreakBefore w:val="0"/>
        <w:widowControl w:val="0"/>
        <w:kinsoku/>
        <w:wordWrap/>
        <w:overflowPunct/>
        <w:topLinePunct w:val="0"/>
        <w:autoSpaceDE/>
        <w:autoSpaceDN/>
        <w:bidi w:val="0"/>
        <w:adjustRightInd/>
        <w:spacing w:line="600" w:lineRule="exact"/>
        <w:ind w:left="638" w:leftChars="304"/>
        <w:jc w:val="left"/>
        <w:textAlignment w:val="baseline"/>
        <w:outlineLvl w:val="9"/>
        <w:rPr>
          <w:rFonts w:eastAsia="楷体_GB2312"/>
          <w:sz w:val="32"/>
          <w:szCs w:val="32"/>
        </w:rPr>
      </w:pPr>
      <w:r>
        <w:rPr>
          <w:rFonts w:eastAsia="楷体_GB2312"/>
          <w:sz w:val="32"/>
          <w:szCs w:val="32"/>
        </w:rPr>
        <w:t>（一）.....................</w:t>
      </w:r>
    </w:p>
    <w:p>
      <w:pPr>
        <w:keepNext w:val="0"/>
        <w:keepLines w:val="0"/>
        <w:pageBreakBefore w:val="0"/>
        <w:widowControl w:val="0"/>
        <w:kinsoku/>
        <w:wordWrap/>
        <w:overflowPunct/>
        <w:topLinePunct w:val="0"/>
        <w:autoSpaceDE/>
        <w:autoSpaceDN/>
        <w:bidi w:val="0"/>
        <w:adjustRightInd/>
        <w:spacing w:line="600" w:lineRule="exact"/>
        <w:ind w:left="638" w:leftChars="304"/>
        <w:jc w:val="left"/>
        <w:textAlignment w:val="baseline"/>
        <w:outlineLvl w:val="9"/>
        <w:rPr>
          <w:rFonts w:eastAsia="楷体_GB2312"/>
          <w:sz w:val="32"/>
          <w:szCs w:val="32"/>
        </w:rPr>
      </w:pPr>
      <w:r>
        <w:rPr>
          <w:rFonts w:eastAsia="楷体_GB2312"/>
          <w:sz w:val="32"/>
          <w:szCs w:val="32"/>
        </w:rPr>
        <w:t>（二）.....................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outlineLvl w:val="9"/>
        <w:rPr>
          <w:rFonts w:eastAsia="仿宋_GB2312"/>
          <w:sz w:val="32"/>
          <w:szCs w:val="32"/>
        </w:rPr>
      </w:pPr>
      <w:r>
        <w:rPr>
          <w:rFonts w:eastAsia="楷体_GB2312"/>
          <w:sz w:val="32"/>
          <w:szCs w:val="32"/>
        </w:rPr>
        <w:t>（三）.....................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baseline"/>
        <w:outlineLvl w:val="9"/>
        <w:rPr>
          <w:rFonts w:eastAsia="仿宋"/>
          <w:sz w:val="32"/>
          <w:szCs w:val="32"/>
        </w:rPr>
      </w:pPr>
      <w:r>
        <w:rPr>
          <w:rFonts w:hint="eastAsia" w:eastAsia="仿宋"/>
          <w:sz w:val="32"/>
          <w:szCs w:val="32"/>
        </w:rPr>
        <w:t xml:space="preserve">   </w:t>
      </w:r>
      <w:r>
        <w:rPr>
          <w:rFonts w:eastAsia="仿宋"/>
          <w:sz w:val="32"/>
          <w:szCs w:val="32"/>
        </w:rPr>
        <w:t>XXX安委会办公室</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baseline"/>
        <w:outlineLvl w:val="9"/>
        <w:rPr>
          <w:rFonts w:eastAsia="仿宋"/>
          <w:sz w:val="32"/>
          <w:szCs w:val="32"/>
        </w:rPr>
      </w:pPr>
      <w:r>
        <w:rPr>
          <w:rFonts w:hint="eastAsia" w:eastAsia="仿宋"/>
          <w:sz w:val="32"/>
          <w:szCs w:val="32"/>
        </w:rPr>
        <w:t xml:space="preserve">    </w:t>
      </w:r>
      <w:bookmarkStart w:id="4" w:name="_GoBack"/>
      <w:bookmarkEnd w:id="4"/>
      <w:r>
        <w:rPr>
          <w:rFonts w:eastAsia="仿宋"/>
          <w:sz w:val="32"/>
          <w:szCs w:val="32"/>
        </w:rPr>
        <w:t>负责人签名：</w:t>
      </w:r>
      <w:r>
        <w:rPr>
          <w:rFonts w:eastAsia="仿宋"/>
          <w:sz w:val="32"/>
          <w:szCs w:val="32"/>
        </w:rPr>
        <w:br w:type="textWrapping"/>
      </w:r>
      <w:r>
        <w:rPr>
          <w:rFonts w:eastAsia="仿宋"/>
          <w:sz w:val="32"/>
          <w:szCs w:val="32"/>
        </w:rPr>
        <w:t xml:space="preserve">  2021年X月X日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rightChars="170"/>
      <w:jc w:val="right"/>
      <w:rPr>
        <w:rFonts w:hint="eastAsia" w:asciiTheme="minorEastAsia" w:hAnsiTheme="minorEastAsia" w:eastAsiaTheme="minorEastAsia" w:cs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357" w:rightChars="170"/>
                            <w:jc w:val="right"/>
                            <w:rPr>
                              <w:b w:val="0"/>
                              <w:bCs w:val="0"/>
                              <w:sz w:val="28"/>
                              <w:szCs w:val="28"/>
                            </w:rPr>
                          </w:pPr>
                          <w:r>
                            <w:rPr>
                              <w:rStyle w:val="8"/>
                              <w:rFonts w:hint="eastAsia" w:asciiTheme="minorEastAsia" w:hAnsiTheme="minorEastAsia" w:eastAsiaTheme="minorEastAsia" w:cstheme="minorEastAsia"/>
                              <w:b w:val="0"/>
                              <w:bCs w:val="0"/>
                              <w:sz w:val="28"/>
                              <w:szCs w:val="28"/>
                            </w:rPr>
                            <w:fldChar w:fldCharType="begin"/>
                          </w:r>
                          <w:r>
                            <w:rPr>
                              <w:rStyle w:val="8"/>
                              <w:rFonts w:hint="eastAsia" w:asciiTheme="minorEastAsia" w:hAnsiTheme="minorEastAsia" w:eastAsiaTheme="minorEastAsia" w:cstheme="minorEastAsia"/>
                              <w:b w:val="0"/>
                              <w:bCs w:val="0"/>
                              <w:sz w:val="28"/>
                              <w:szCs w:val="28"/>
                            </w:rPr>
                            <w:instrText xml:space="preserve"> PAGE </w:instrText>
                          </w:r>
                          <w:r>
                            <w:rPr>
                              <w:rStyle w:val="8"/>
                              <w:rFonts w:hint="eastAsia" w:asciiTheme="minorEastAsia" w:hAnsiTheme="minorEastAsia" w:eastAsiaTheme="minorEastAsia" w:cstheme="minorEastAsia"/>
                              <w:b w:val="0"/>
                              <w:bCs w:val="0"/>
                              <w:sz w:val="28"/>
                              <w:szCs w:val="28"/>
                            </w:rPr>
                            <w:fldChar w:fldCharType="separate"/>
                          </w:r>
                          <w:r>
                            <w:rPr>
                              <w:rStyle w:val="8"/>
                              <w:rFonts w:hint="eastAsia" w:asciiTheme="minorEastAsia" w:hAnsiTheme="minorEastAsia" w:eastAsiaTheme="minorEastAsia" w:cstheme="minorEastAsia"/>
                              <w:b w:val="0"/>
                              <w:bCs w:val="0"/>
                              <w:sz w:val="28"/>
                              <w:szCs w:val="28"/>
                            </w:rPr>
                            <w:t>1</w:t>
                          </w:r>
                          <w:r>
                            <w:rPr>
                              <w:rStyle w:val="8"/>
                              <w:rFonts w:hint="eastAsia" w:asciiTheme="minorEastAsia" w:hAnsiTheme="minorEastAsia" w:eastAsiaTheme="minorEastAsia" w:cstheme="minorEastAsia"/>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7dP1d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pStyle w:val="3"/>
                      <w:ind w:right="357" w:rightChars="170"/>
                      <w:jc w:val="right"/>
                      <w:rPr>
                        <w:b w:val="0"/>
                        <w:bCs w:val="0"/>
                        <w:sz w:val="28"/>
                        <w:szCs w:val="28"/>
                      </w:rPr>
                    </w:pPr>
                    <w:r>
                      <w:rPr>
                        <w:rStyle w:val="8"/>
                        <w:rFonts w:hint="eastAsia" w:asciiTheme="minorEastAsia" w:hAnsiTheme="minorEastAsia" w:eastAsiaTheme="minorEastAsia" w:cstheme="minorEastAsia"/>
                        <w:b w:val="0"/>
                        <w:bCs w:val="0"/>
                        <w:sz w:val="28"/>
                        <w:szCs w:val="28"/>
                      </w:rPr>
                      <w:fldChar w:fldCharType="begin"/>
                    </w:r>
                    <w:r>
                      <w:rPr>
                        <w:rStyle w:val="8"/>
                        <w:rFonts w:hint="eastAsia" w:asciiTheme="minorEastAsia" w:hAnsiTheme="minorEastAsia" w:eastAsiaTheme="minorEastAsia" w:cstheme="minorEastAsia"/>
                        <w:b w:val="0"/>
                        <w:bCs w:val="0"/>
                        <w:sz w:val="28"/>
                        <w:szCs w:val="28"/>
                      </w:rPr>
                      <w:instrText xml:space="preserve"> PAGE </w:instrText>
                    </w:r>
                    <w:r>
                      <w:rPr>
                        <w:rStyle w:val="8"/>
                        <w:rFonts w:hint="eastAsia" w:asciiTheme="minorEastAsia" w:hAnsiTheme="minorEastAsia" w:eastAsiaTheme="minorEastAsia" w:cstheme="minorEastAsia"/>
                        <w:b w:val="0"/>
                        <w:bCs w:val="0"/>
                        <w:sz w:val="28"/>
                        <w:szCs w:val="28"/>
                      </w:rPr>
                      <w:fldChar w:fldCharType="separate"/>
                    </w:r>
                    <w:r>
                      <w:rPr>
                        <w:rStyle w:val="8"/>
                        <w:rFonts w:hint="eastAsia" w:asciiTheme="minorEastAsia" w:hAnsiTheme="minorEastAsia" w:eastAsiaTheme="minorEastAsia" w:cstheme="minorEastAsia"/>
                        <w:b w:val="0"/>
                        <w:bCs w:val="0"/>
                        <w:sz w:val="28"/>
                        <w:szCs w:val="28"/>
                      </w:rPr>
                      <w:t>1</w:t>
                    </w:r>
                    <w:r>
                      <w:rPr>
                        <w:rStyle w:val="8"/>
                        <w:rFonts w:hint="eastAsia" w:asciiTheme="minorEastAsia" w:hAnsiTheme="minorEastAsia" w:eastAsiaTheme="minorEastAsia" w:cstheme="minorEastAsia"/>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rightChars="170"/>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7dP1d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rFonts w:hint="eastAsia"/>
        <w:sz w:val="28"/>
      </w:rPr>
    </w:pPr>
    <w:r>
      <w:rPr>
        <w:rFonts w:hint="eastAsia" w:cs="宋体"/>
        <w:sz w:val="28"/>
        <w:szCs w:val="28"/>
      </w:rPr>
      <w:t xml:space="preserve">— </w:t>
    </w:r>
    <w:r>
      <w:rPr>
        <w:rFonts w:hint="eastAsia" w:cs="宋体"/>
        <w:sz w:val="28"/>
        <w:szCs w:val="28"/>
      </w:rPr>
      <w:fldChar w:fldCharType="begin"/>
    </w:r>
    <w:r>
      <w:rPr>
        <w:rFonts w:hint="eastAsia" w:cs="宋体"/>
        <w:sz w:val="28"/>
        <w:szCs w:val="28"/>
      </w:rPr>
      <w:instrText xml:space="preserve"> PAGE  \* MERGEFORMAT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60288;mso-width-relative:page;mso-height-relative:page;" filled="f" stroked="f" coordsize="21600,21600" o:gfxdata="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VF2c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54F9"/>
    <w:multiLevelType w:val="singleLevel"/>
    <w:tmpl w:val="084454F9"/>
    <w:lvl w:ilvl="0" w:tentative="0">
      <w:start w:val="1"/>
      <w:numFmt w:val="chineseCounting"/>
      <w:suff w:val="nothing"/>
      <w:lvlText w:val="（%1）"/>
      <w:lvlJc w:val="left"/>
      <w:rPr>
        <w:rFonts w:hint="eastAsia"/>
      </w:rPr>
    </w:lvl>
  </w:abstractNum>
  <w:abstractNum w:abstractNumId="1">
    <w:nsid w:val="763B3E1A"/>
    <w:multiLevelType w:val="singleLevel"/>
    <w:tmpl w:val="763B3E1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60EB4"/>
    <w:rsid w:val="10960EB4"/>
    <w:rsid w:val="317C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2021-12-01T06:20:00Z</dcterms:created>
  <dc:creator>CoCoCOOL</dc:creator>
  <cp:lastModifiedBy>CoCoCOOL</cp:lastModifiedBy>
  <dcterms:modified xsi:type="dcterms:W3CDTF">2021-12-01T06:22:42Z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C551AA22FF0A49C08DB71FB1CE0A823F</vt:lpwstr>
  </property>
</Properties>
</file>