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kern w:val="0"/>
          <w:sz w:val="44"/>
          <w:szCs w:val="44"/>
        </w:rPr>
      </w:pPr>
      <w:bookmarkStart w:id="2" w:name="_GoBack"/>
      <w:bookmarkEnd w:id="2"/>
      <w:r>
        <w:rPr>
          <w:rFonts w:hint="eastAsia" w:ascii="方正小标宋简体" w:hAnsi="方正小标宋简体" w:eastAsia="方正小标宋简体" w:cs="方正小标宋简体"/>
          <w:kern w:val="0"/>
          <w:sz w:val="44"/>
          <w:szCs w:val="44"/>
        </w:rPr>
        <w:t>遂宁市河东新区</w:t>
      </w:r>
      <w:r>
        <w:rPr>
          <w:rFonts w:hint="eastAsia" w:ascii="Times New Roman" w:hAnsi="Times New Roman" w:eastAsia="方正小标宋简体" w:cs="方正小标宋简体"/>
          <w:kern w:val="0"/>
          <w:sz w:val="44"/>
          <w:szCs w:val="44"/>
        </w:rPr>
        <w:t>202</w:t>
      </w:r>
      <w:r>
        <w:rPr>
          <w:rFonts w:hint="eastAsia" w:ascii="Times New Roman" w:hAnsi="Times New Roman" w:eastAsia="方正小标宋简体" w:cs="方正小标宋简体"/>
          <w:kern w:val="0"/>
          <w:sz w:val="44"/>
          <w:szCs w:val="44"/>
          <w:lang w:val="en-US" w:eastAsia="zh-CN"/>
        </w:rPr>
        <w:t>3</w:t>
      </w:r>
      <w:r>
        <w:rPr>
          <w:rFonts w:hint="eastAsia" w:ascii="方正小标宋简体" w:hAnsi="方正小标宋简体" w:eastAsia="方正小标宋简体" w:cs="方正小标宋简体"/>
          <w:kern w:val="0"/>
          <w:sz w:val="44"/>
          <w:szCs w:val="44"/>
        </w:rPr>
        <w:t>年食品安全</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重点工作安排</w:t>
      </w:r>
    </w:p>
    <w:p>
      <w:pPr>
        <w:keepNext w:val="0"/>
        <w:keepLines w:val="0"/>
        <w:pageBreakBefore w:val="0"/>
        <w:kinsoku/>
        <w:wordWrap/>
        <w:overflowPunct/>
        <w:topLinePunct w:val="0"/>
        <w:autoSpaceDE/>
        <w:autoSpaceDN/>
        <w:bidi w:val="0"/>
        <w:spacing w:line="560" w:lineRule="exact"/>
        <w:ind w:firstLine="640" w:firstLineChars="200"/>
        <w:textAlignment w:val="auto"/>
        <w:rPr>
          <w:rFonts w:eastAsia="仿宋"/>
          <w:kern w:val="0"/>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3</w:t>
      </w:r>
      <w:r>
        <w:rPr>
          <w:rFonts w:hint="eastAsia" w:ascii="仿宋_GB2312" w:hAnsi="仿宋_GB2312" w:eastAsia="仿宋_GB2312" w:cs="仿宋_GB2312"/>
          <w:kern w:val="0"/>
          <w:sz w:val="32"/>
          <w:szCs w:val="32"/>
        </w:rPr>
        <w:t>年食品安全</w:t>
      </w:r>
      <w:r>
        <w:rPr>
          <w:rFonts w:hint="eastAsia" w:ascii="仿宋_GB2312" w:hAnsi="仿宋_GB2312" w:eastAsia="仿宋_GB2312" w:cs="仿宋_GB2312"/>
          <w:kern w:val="0"/>
          <w:sz w:val="32"/>
          <w:szCs w:val="32"/>
          <w:lang w:val="en-US" w:eastAsia="zh-CN"/>
        </w:rPr>
        <w:t>重点</w:t>
      </w:r>
      <w:r>
        <w:rPr>
          <w:rFonts w:hint="eastAsia" w:ascii="仿宋_GB2312" w:hAnsi="仿宋_GB2312" w:eastAsia="仿宋_GB2312" w:cs="仿宋_GB2312"/>
          <w:kern w:val="0"/>
          <w:sz w:val="32"/>
          <w:szCs w:val="32"/>
        </w:rPr>
        <w:t>工作，以习近平新时代中国特色社会主义思</w:t>
      </w:r>
      <w:r>
        <w:rPr>
          <w:rFonts w:hint="eastAsia" w:ascii="仿宋_GB2312" w:hAnsi="仿宋_GB2312" w:eastAsia="仿宋_GB2312" w:cs="仿宋_GB2312"/>
          <w:spacing w:val="-6"/>
          <w:kern w:val="0"/>
          <w:sz w:val="32"/>
          <w:szCs w:val="32"/>
        </w:rPr>
        <w:t>想为指导，</w:t>
      </w:r>
      <w:r>
        <w:rPr>
          <w:rFonts w:hint="eastAsia" w:ascii="仿宋_GB2312" w:hAnsi="仿宋_GB2312" w:eastAsia="仿宋_GB2312" w:cs="仿宋_GB2312"/>
          <w:sz w:val="32"/>
          <w:szCs w:val="32"/>
          <w:lang w:eastAsia="zh-CN"/>
        </w:rPr>
        <w:t>全面贯彻落实党的二十大精神、省</w:t>
      </w:r>
      <w:r>
        <w:rPr>
          <w:rFonts w:hint="eastAsia" w:ascii="仿宋_GB2312" w:hAnsi="仿宋_GB2312" w:eastAsia="仿宋_GB2312" w:cs="仿宋_GB2312"/>
          <w:sz w:val="32"/>
          <w:szCs w:val="32"/>
        </w:rPr>
        <w:t>第十二次党代会精神</w:t>
      </w:r>
      <w:r>
        <w:rPr>
          <w:rFonts w:hint="eastAsia" w:ascii="仿宋_GB2312" w:hAnsi="仿宋_GB2312" w:eastAsia="仿宋_GB2312" w:cs="仿宋_GB2312"/>
          <w:sz w:val="32"/>
          <w:szCs w:val="32"/>
          <w:lang w:eastAsia="zh-CN"/>
        </w:rPr>
        <w:t>、市委决策部署以及新区党工委决策部署</w:t>
      </w:r>
      <w:r>
        <w:rPr>
          <w:rFonts w:hint="eastAsia" w:ascii="仿宋_GB2312" w:hAnsi="仿宋_GB2312" w:eastAsia="仿宋_GB2312" w:cs="仿宋_GB2312"/>
          <w:sz w:val="32"/>
          <w:szCs w:val="32"/>
        </w:rPr>
        <w:t>，坚持稳中求进工作总基调，以“四个最严”为统领，强化从农田到餐桌全过程监管，严防严管严控食品安全风险，严厉打击违法犯罪活动，确保人民群众吃得安全、吃得放心。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ascii="黑体" w:hAnsi="黑体" w:eastAsia="黑体"/>
          <w:sz w:val="32"/>
          <w:szCs w:val="32"/>
        </w:rPr>
        <w:t>一、</w:t>
      </w:r>
      <w:r>
        <w:rPr>
          <w:rFonts w:hint="eastAsia" w:ascii="黑体" w:hAnsi="黑体" w:eastAsia="黑体" w:cs="黑体"/>
          <w:sz w:val="32"/>
          <w:szCs w:val="32"/>
          <w:lang w:eastAsia="zh-CN"/>
        </w:rPr>
        <w:t>立足工作重心</w:t>
      </w:r>
      <w:r>
        <w:rPr>
          <w:rFonts w:hint="eastAsia" w:ascii="黑体" w:hAnsi="黑体" w:eastAsia="黑体"/>
          <w:sz w:val="32"/>
          <w:szCs w:val="32"/>
          <w:lang w:eastAsia="zh-CN"/>
        </w:rPr>
        <w:t>，</w:t>
      </w:r>
      <w:r>
        <w:rPr>
          <w:rFonts w:hint="eastAsia" w:ascii="黑体" w:hAnsi="黑体" w:eastAsia="黑体" w:cs="黑体"/>
          <w:sz w:val="32"/>
          <w:szCs w:val="32"/>
          <w:lang w:eastAsia="zh-CN"/>
        </w:rPr>
        <w:t>保障</w:t>
      </w:r>
      <w:r>
        <w:rPr>
          <w:rFonts w:hint="eastAsia" w:ascii="黑体" w:hAnsi="黑体" w:eastAsia="黑体" w:cs="黑体"/>
          <w:sz w:val="32"/>
          <w:szCs w:val="32"/>
        </w:rPr>
        <w:t>大局稳定</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（一）纵深推进“两个责任”工作机制落实落细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一是</w:t>
      </w:r>
      <w:r>
        <w:rPr>
          <w:rFonts w:hint="eastAsia" w:ascii="仿宋_GB2312" w:hAnsi="仿宋_GB2312" w:eastAsia="仿宋_GB2312" w:cs="仿宋_GB2312"/>
          <w:kern w:val="0"/>
          <w:sz w:val="32"/>
          <w:szCs w:val="32"/>
        </w:rPr>
        <w:t>全面完成包保责任、包保督导、包保数据三个</w:t>
      </w:r>
      <w:r>
        <w:rPr>
          <w:rFonts w:hint="eastAsia" w:ascii="Times New Roman" w:hAnsi="Times New Roman" w:eastAsia="仿宋_GB2312" w:cs="仿宋_GB2312"/>
          <w:kern w:val="0"/>
          <w:sz w:val="32"/>
          <w:szCs w:val="32"/>
        </w:rPr>
        <w:t>100</w:t>
      </w:r>
      <w:r>
        <w:rPr>
          <w:rFonts w:hint="eastAsia" w:ascii="仿宋_GB2312" w:hAnsi="仿宋_GB2312" w:eastAsia="仿宋_GB2312" w:cs="仿宋_GB2312"/>
          <w:kern w:val="0"/>
          <w:sz w:val="32"/>
          <w:szCs w:val="32"/>
        </w:rPr>
        <w:t>%全覆盖，深化市、县、乡“三联保”模式，建立“月通报、季提醒、年督查”工作机制。建立健全包保干部全员培训、包保责任动态衔接、督查考核一体推进等工作机制，督促各级“两个责任”工作专班常态化运行、包保督导常态化开展。开展食品安全分层分级述职评议，通过以问题为导向的述职模式提升述职评议针对性，进一步夯实食品安全属地管理责任和行业监管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责任单位：新区食品安全办</w:t>
      </w:r>
      <w:r>
        <w:rPr>
          <w:rFonts w:hint="eastAsia" w:ascii="楷体" w:hAnsi="楷体" w:eastAsia="楷体" w:cs="楷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二是</w:t>
      </w:r>
      <w:r>
        <w:rPr>
          <w:rFonts w:hint="default" w:ascii="仿宋_GB2312" w:hAnsi="仿宋_GB2312" w:eastAsia="仿宋_GB2312" w:cs="仿宋_GB2312"/>
          <w:kern w:val="0"/>
          <w:sz w:val="32"/>
          <w:szCs w:val="32"/>
          <w:lang w:eastAsia="zh-CN"/>
        </w:rPr>
        <w:t>深入贯彻落实《企业落实食品安全主体责任监督管理规定》</w:t>
      </w:r>
      <w:r>
        <w:rPr>
          <w:rFonts w:hint="eastAsia" w:ascii="仿宋_GB2312" w:hAnsi="仿宋_GB2312" w:eastAsia="仿宋_GB2312" w:cs="仿宋_GB2312"/>
          <w:kern w:val="0"/>
          <w:sz w:val="32"/>
          <w:szCs w:val="32"/>
          <w:lang w:eastAsia="zh-CN"/>
        </w:rPr>
        <w:t>，持续开展“落实企业主体责任年”行动，</w:t>
      </w:r>
      <w:r>
        <w:rPr>
          <w:rFonts w:hint="default" w:ascii="仿宋_GB2312" w:hAnsi="仿宋_GB2312" w:eastAsia="仿宋_GB2312" w:cs="仿宋_GB2312"/>
          <w:kern w:val="0"/>
          <w:sz w:val="32"/>
          <w:szCs w:val="32"/>
          <w:lang w:eastAsia="zh-CN"/>
        </w:rPr>
        <w:t>督促生产经营者建立食品安全责任体系，督促大中型生产经营主体结合实际设立食品安全总监、按车间和班次指定食品安全员；加大监督检查力度，督促落实</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eastAsia="zh-CN"/>
        </w:rPr>
        <w:t>三项机制</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eastAsia="zh-CN"/>
        </w:rPr>
        <w:t>（日管控、周排查、月调度）、完善</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eastAsia="zh-CN"/>
        </w:rPr>
        <w:t>三项记录</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eastAsia="zh-CN"/>
        </w:rPr>
        <w:t>（每日食品安全检查记录、每周食品安全排查治理报告、每月食品安全调度会议纪要）。建立培训考核和人员淘汰机制，督促食品安全相关管理人员履职到位</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eastAsia="zh-CN"/>
        </w:rPr>
        <w:t>充分运用食安员抽考APP对企业主要负责人和食品安全总监、食品安全员进行培训和考核，监督抽考率和合格率保持</w:t>
      </w:r>
      <w:r>
        <w:rPr>
          <w:rFonts w:hint="default" w:ascii="Times New Roman" w:hAnsi="Times New Roman" w:eastAsia="仿宋_GB2312" w:cs="仿宋_GB2312"/>
          <w:kern w:val="0"/>
          <w:sz w:val="32"/>
          <w:szCs w:val="32"/>
          <w:lang w:eastAsia="zh-CN"/>
        </w:rPr>
        <w:t>100</w:t>
      </w:r>
      <w:r>
        <w:rPr>
          <w:rFonts w:hint="default"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市场监管分局〕</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打好食品安全“守底线、查隐患、保安全”专项行动和食品安全放心工程建设攻坚行动收官之战</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一是围绕食品生产、食品流通、餐饮服务等重要环节，聚焦网络食品、冷链食品等重点行业，积极开展食品安全风险隐患排查整治工作，确保检查覆盖率</w:t>
      </w:r>
      <w:r>
        <w:rPr>
          <w:rFonts w:hint="eastAsia" w:ascii="Times New Roman" w:hAnsi="Times New Roman" w:eastAsia="仿宋_GB2312" w:cs="仿宋_GB2312"/>
          <w:kern w:val="0"/>
          <w:sz w:val="32"/>
          <w:szCs w:val="32"/>
          <w:lang w:eastAsia="zh-CN"/>
        </w:rPr>
        <w:t>100</w:t>
      </w:r>
      <w:r>
        <w:rPr>
          <w:rFonts w:hint="eastAsia" w:ascii="仿宋_GB2312" w:hAnsi="仿宋_GB2312" w:eastAsia="仿宋_GB2312" w:cs="仿宋_GB2312"/>
          <w:kern w:val="0"/>
          <w:sz w:val="32"/>
          <w:szCs w:val="32"/>
          <w:lang w:eastAsia="zh-CN"/>
        </w:rPr>
        <w:t>%、问题处置率</w:t>
      </w:r>
      <w:r>
        <w:rPr>
          <w:rFonts w:hint="eastAsia" w:ascii="Times New Roman" w:hAnsi="Times New Roman" w:eastAsia="仿宋_GB2312" w:cs="仿宋_GB2312"/>
          <w:kern w:val="0"/>
          <w:sz w:val="32"/>
          <w:szCs w:val="32"/>
          <w:lang w:eastAsia="zh-CN"/>
        </w:rPr>
        <w:t>100</w:t>
      </w:r>
      <w:r>
        <w:rPr>
          <w:rFonts w:hint="eastAsia" w:ascii="仿宋_GB2312" w:hAnsi="仿宋_GB2312" w:eastAsia="仿宋_GB2312" w:cs="仿宋_GB2312"/>
          <w:kern w:val="0"/>
          <w:sz w:val="32"/>
          <w:szCs w:val="32"/>
          <w:lang w:eastAsia="zh-CN"/>
        </w:rPr>
        <w:t>%，有力巩固“守底线、查隐患、保安全”专项行动基础成果，适时开展“回头看”工作，持续保障食品安全稳定大局。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市场监管分局〕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是牢牢紧盯食品安全放心工程建设各项子行动年度目标，持续推进农药兽药使用减量和产地环境净化，强化源头污染治理。切实抓好校园食品、特殊食品、进口食品、农村食品和网络食品监管，强化重点领域整治。聚力提升餐饮、小作坊和粮油、白酒、乳制品、肉制品等重点环节和产品质量安全水平。切实做好标准制（修）订和风险监测，规范化建设食用农产品市场，充分发挥“双安双创”示范引领作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lang w:eastAsia="zh-CN"/>
        </w:rPr>
      </w:pPr>
      <w:r>
        <w:rPr>
          <w:rFonts w:hint="eastAsia" w:ascii="仿宋_GB2312" w:hAnsi="仿宋_GB2312" w:eastAsia="仿宋_GB2312" w:cs="仿宋_GB2312"/>
          <w:kern w:val="0"/>
          <w:sz w:val="32"/>
          <w:szCs w:val="32"/>
          <w:lang w:val="en-US" w:eastAsia="zh-CN"/>
        </w:rPr>
        <w:t xml:space="preserve"> </w:t>
      </w: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新区食品安全办，各子行动责任单位按职责分工负责〕</w:t>
      </w:r>
      <w:r>
        <w:rPr>
          <w:rFonts w:hint="eastAsia" w:ascii="楷体" w:hAnsi="楷体" w:eastAsia="楷体" w:cs="楷体"/>
          <w:kern w:val="0"/>
          <w:sz w:val="32"/>
          <w:szCs w:val="32"/>
          <w:lang w:val="en-US" w:eastAsia="zh-CN"/>
        </w:rPr>
        <w:t>(备注：逗号前为牵头单位，下同)</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（三）探索建立基层食品安全综合治理体系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建立城市街区食品安全办基层食品安全协调机构，建立“包保干部+协管员+志愿者”的食品安全“大志愿者队伍”，分层分级建立志愿队伍的工作激励机制。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新区食品安全办〕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黑体"/>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强化</w:t>
      </w:r>
      <w:r>
        <w:rPr>
          <w:rFonts w:hint="eastAsia" w:ascii="黑体" w:hAnsi="黑体" w:eastAsia="黑体" w:cs="黑体"/>
          <w:sz w:val="32"/>
          <w:szCs w:val="32"/>
        </w:rPr>
        <w:t>源头</w:t>
      </w:r>
      <w:r>
        <w:rPr>
          <w:rFonts w:hint="eastAsia" w:ascii="黑体" w:hAnsi="黑体" w:eastAsia="黑体" w:cs="黑体"/>
          <w:sz w:val="32"/>
          <w:szCs w:val="32"/>
          <w:lang w:eastAsia="zh-CN"/>
        </w:rPr>
        <w:t>管控，筑牢安全底线</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（四）强化产地环境治理</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一是进一步净化产地环境，加强耕地土壤污染源头防控，深入开展耕地土壤重金属污染成因排查，持续推进农用地土壤镉等重金属污染源头防治行动。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生态环境分局</w:t>
      </w:r>
      <w:r>
        <w:rPr>
          <w:rFonts w:hint="eastAsia" w:ascii="楷体" w:hAnsi="楷体" w:eastAsia="楷体" w:cs="楷体"/>
          <w:kern w:val="0"/>
          <w:sz w:val="32"/>
          <w:szCs w:val="32"/>
          <w:lang w:eastAsia="zh-CN"/>
        </w:rPr>
        <w:t>〕</w:t>
      </w: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二是落实耕地分类管理制度，优化完善轻中度污染耕地安全利用措施，加强技术指导，对严格管控类耕地依法采取风险管控措施。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发改局</w:t>
      </w:r>
      <w:r>
        <w:rPr>
          <w:rFonts w:hint="eastAsia" w:ascii="楷体" w:hAnsi="楷体" w:eastAsia="楷体" w:cs="楷体"/>
          <w:kern w:val="0"/>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（五）规范农业投入品使用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持续深入实施食用农产品“治违禁 控药残 促提升”三年专项行动，聚焦</w:t>
      </w:r>
      <w:r>
        <w:rPr>
          <w:rFonts w:hint="eastAsia" w:ascii="Times New Roman" w:hAnsi="Times New Roman" w:eastAsia="仿宋_GB2312" w:cs="仿宋_GB2312"/>
          <w:kern w:val="0"/>
          <w:sz w:val="32"/>
          <w:szCs w:val="32"/>
          <w:lang w:eastAsia="zh-CN"/>
        </w:rPr>
        <w:t>1</w:t>
      </w:r>
      <w:r>
        <w:rPr>
          <w:rFonts w:hint="eastAsia" w:ascii="Times New Roman" w:hAnsi="Times New Roman"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个重点品种，严打禁限用药物违法使用，严控常规药物残留超标。开展豇豆农药残留突出问题攻坚治理，加密上市期巡查检查和抽检频次。加强禁限用农药管理，组织实施种养殖规范用药专项整治行动。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发改局，市场监管分局、公安分局、社事群工局〕</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（六）严把粮食质量安全关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加大对政策性粮食出入库监督检查力度，严格落实出库质量安全检验制度，严防不符合食品安全标准的粮食流入口粮市场。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发改局〕</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sz w:val="32"/>
          <w:szCs w:val="32"/>
          <w:lang w:eastAsia="zh-CN"/>
        </w:rPr>
      </w:pPr>
      <w:r>
        <w:rPr>
          <w:rFonts w:hint="eastAsia" w:ascii="黑体" w:hAnsi="黑体" w:eastAsia="黑体" w:cs="黑体"/>
          <w:sz w:val="33"/>
          <w:szCs w:val="33"/>
        </w:rPr>
        <w:t>三、</w:t>
      </w:r>
      <w:r>
        <w:rPr>
          <w:rFonts w:hint="eastAsia" w:ascii="黑体" w:hAnsi="黑体" w:eastAsia="黑体"/>
          <w:sz w:val="32"/>
          <w:szCs w:val="32"/>
          <w:lang w:eastAsia="zh-CN"/>
        </w:rPr>
        <w:t>突出工作</w:t>
      </w:r>
      <w:r>
        <w:rPr>
          <w:rFonts w:ascii="黑体" w:hAnsi="黑体" w:eastAsia="黑体"/>
          <w:sz w:val="32"/>
          <w:szCs w:val="32"/>
        </w:rPr>
        <w:t>重点</w:t>
      </w:r>
      <w:r>
        <w:rPr>
          <w:rFonts w:hint="eastAsia" w:ascii="黑体" w:hAnsi="黑体" w:eastAsia="黑体"/>
          <w:sz w:val="32"/>
          <w:szCs w:val="32"/>
          <w:lang w:eastAsia="zh-CN"/>
        </w:rPr>
        <w:t>，强化监管职责</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（七）严格特殊食品监管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一是开展母婴用品店特殊食品规范经营行动，巩固完善专区专柜管理，大力推行诚信示范创建，探索建立沙盒监管机制为重要抓手，全面提升特殊食品安全现状和监管水平。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市场监管分局〕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二是巩固保健食品行业专项清理整治成果，促进保健食品行业规范、健康发展。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市场监管分局</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党群工作部、经合局、社事群工局、公安分局</w:t>
      </w:r>
      <w:r>
        <w:rPr>
          <w:rFonts w:hint="eastAsia" w:ascii="楷体" w:hAnsi="楷体" w:eastAsia="楷体" w:cs="楷体"/>
          <w:kern w:val="0"/>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（八）提升餐饮质量安全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是支持餐饮服务企业发展连锁经营和中央厨房，提升餐饮行业标准化水平，规范快餐、团餐等大众餐饮服务。鼓励餐饮外卖对配送食品进行封签。探索推广厨余垃圾处理技术和标准，提升厨余垃圾无害化处理和资源化利用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发改局</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经合局</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建设交运局</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市场监管分局</w:t>
      </w:r>
      <w:r>
        <w:rPr>
          <w:rFonts w:hint="eastAsia" w:ascii="楷体" w:hAnsi="楷体" w:eastAsia="楷体" w:cs="楷体"/>
          <w:kern w:val="0"/>
          <w:sz w:val="32"/>
          <w:szCs w:val="32"/>
          <w:lang w:eastAsia="zh-CN"/>
        </w:rPr>
        <w:t>〕</w:t>
      </w: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二是开展“餐饮环境卫生提升年”行动，聚力提升餐饮环境卫生水平，打造“清洁厨房”。规范工作流程，完善多维度工作机制，做好重大活动食品安全保障。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市场监管分局</w:t>
      </w:r>
      <w:r>
        <w:rPr>
          <w:rFonts w:hint="eastAsia" w:ascii="楷体" w:hAnsi="楷体" w:eastAsia="楷体" w:cs="楷体"/>
          <w:kern w:val="0"/>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（九）加强重点场所监管</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是全面落实学校食品安全校长（园长）责任制。组织开展开学季校园及周边食品安全全覆盖风险隐患排查。推进以“互联网+明厨亮灶”为重点的学校食堂食品安全智能化管理系统建设，提升智能化管理水平。督促落实校园配餐服务企业管理指南，推动校外供餐单位质量管理体系认证全覆盖，提升校外供餐单位食品安全管理水平。推进校外供餐单位“互联网+明厨亮灶”覆盖率达到</w:t>
      </w:r>
      <w:r>
        <w:rPr>
          <w:rFonts w:hint="eastAsia" w:ascii="Times New Roman" w:hAnsi="Times New Roman" w:eastAsia="仿宋_GB2312" w:cs="仿宋_GB2312"/>
          <w:kern w:val="0"/>
          <w:sz w:val="32"/>
          <w:szCs w:val="32"/>
          <w:lang w:eastAsia="zh-CN"/>
        </w:rPr>
        <w:t>90</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市场监管分局</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社事群工局、公安分局</w:t>
      </w:r>
      <w:r>
        <w:rPr>
          <w:rFonts w:hint="eastAsia" w:ascii="楷体" w:hAnsi="楷体" w:eastAsia="楷体" w:cs="楷体"/>
          <w:kern w:val="0"/>
          <w:sz w:val="32"/>
          <w:szCs w:val="32"/>
          <w:lang w:eastAsia="zh-CN"/>
        </w:rPr>
        <w:t>〕</w:t>
      </w:r>
    </w:p>
    <w:p>
      <w:pPr>
        <w:pStyle w:val="2"/>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s="Times New Roman"/>
          <w:sz w:val="33"/>
          <w:szCs w:val="33"/>
          <w:lang w:eastAsia="zh-CN"/>
        </w:rPr>
      </w:pPr>
      <w:r>
        <w:rPr>
          <w:rFonts w:hint="eastAsia" w:ascii="仿宋_GB2312" w:hAnsi="仿宋_GB2312" w:eastAsia="仿宋_GB2312" w:cs="仿宋_GB2312"/>
          <w:kern w:val="0"/>
          <w:sz w:val="32"/>
          <w:szCs w:val="32"/>
          <w:lang w:val="en-US" w:eastAsia="zh-CN" w:bidi="ar-SA"/>
        </w:rPr>
        <w:t>二是督促养老机构、宗教活动场所、建筑工地食堂、旅游景区、农产品市场、医院等重点场所落实主体责任，严格规范许可资质、流程布局、环境卫生、设施设备等条件，加强对食品从业人员管理；</w:t>
      </w:r>
      <w:r>
        <w:rPr>
          <w:rFonts w:hint="eastAsia" w:ascii="仿宋_GB2312" w:hAnsi="仿宋_GB2312" w:eastAsia="仿宋_GB2312" w:cs="仿宋_GB2312"/>
          <w:kern w:val="0"/>
          <w:sz w:val="32"/>
          <w:szCs w:val="32"/>
          <w:lang w:val="en-US" w:eastAsia="zh-Hans" w:bidi="ar-SA"/>
        </w:rPr>
        <w:t>探索建立大宗食材监管溯源平台</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党群工作部、社事群工局、建设交运局、经合局、市场监管分局、自规分局〕</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（十）加强食品添加剂使用监管</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持续加强湿米粉、湿淀粉、酵米面制品监管，着力防范蔬菜制品环境卫生条件不达标、二氧化硫超标，肉制品微生物超标，白酒超范围使用甜味剂和滥用工业用酶制剂等“两超一非”，食用植物油非法添加，粮食加工品重金属超标等重点问题。加强重点地区粉丝粉条等淀粉制品铝超标治理。督促大型企业完善供应商审核制度和食品安全质量管理体系。督促中小企业加强关键环节管理，持续保持许可条件。加强对已注销食品生产许可企业检查，严防无证生产。重点整治白酒生产不规范，以及固体饮料、压片糖果、红糖等虚假宣传、非法添加问题。持续治理食品生产环节“两超一非”问题和塑化剂污染防控，强化复配食品添加剂生产监管。规范食品生产委托加工和标签标识不规范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市场监管分局〕</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（十一）深入开展专项治理行动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一是根据国、省、</w:t>
      </w:r>
      <w:r>
        <w:rPr>
          <w:rFonts w:hint="eastAsia" w:ascii="仿宋_GB2312" w:hAnsi="仿宋_GB2312" w:eastAsia="仿宋_GB2312" w:cs="仿宋_GB2312"/>
          <w:kern w:val="0"/>
          <w:sz w:val="32"/>
          <w:szCs w:val="32"/>
          <w:lang w:val="en-US" w:eastAsia="zh-CN"/>
        </w:rPr>
        <w:t>市</w:t>
      </w:r>
      <w:r>
        <w:rPr>
          <w:rFonts w:hint="eastAsia" w:ascii="仿宋_GB2312" w:hAnsi="仿宋_GB2312" w:eastAsia="仿宋_GB2312" w:cs="仿宋_GB2312"/>
          <w:kern w:val="0"/>
          <w:sz w:val="32"/>
          <w:szCs w:val="32"/>
          <w:lang w:eastAsia="zh-CN"/>
        </w:rPr>
        <w:t>部署抓好《</w:t>
      </w:r>
      <w:r>
        <w:rPr>
          <w:rFonts w:hint="default" w:ascii="仿宋_GB2312" w:hAnsi="仿宋_GB2312" w:eastAsia="仿宋_GB2312" w:cs="仿宋_GB2312"/>
          <w:kern w:val="0"/>
          <w:sz w:val="32"/>
          <w:szCs w:val="32"/>
          <w:lang w:eastAsia="zh-CN"/>
        </w:rPr>
        <w:t>关于</w:t>
      </w:r>
      <w:r>
        <w:rPr>
          <w:rFonts w:hint="eastAsia" w:ascii="仿宋_GB2312" w:hAnsi="仿宋_GB2312" w:eastAsia="仿宋_GB2312" w:cs="仿宋_GB2312"/>
          <w:kern w:val="0"/>
          <w:sz w:val="32"/>
          <w:szCs w:val="32"/>
          <w:lang w:eastAsia="zh-CN"/>
        </w:rPr>
        <w:t>防止和减少餐饮浪费</w:t>
      </w:r>
      <w:r>
        <w:rPr>
          <w:rFonts w:hint="default"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eastAsia="zh-CN"/>
        </w:rPr>
        <w:t>公告》的贯彻落实。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发改局</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经合局</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市场监管分局</w:t>
      </w:r>
      <w:r>
        <w:rPr>
          <w:rFonts w:hint="eastAsia" w:ascii="楷体" w:hAnsi="楷体" w:eastAsia="楷体" w:cs="楷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二是研究建立餐饮行业反食品浪费制度规范，推动将防止食品浪费要求纳入有关国家标准、行业标准和地方标准。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经合局</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市场监管分局</w:t>
      </w:r>
      <w:r>
        <w:rPr>
          <w:rFonts w:hint="eastAsia" w:ascii="楷体" w:hAnsi="楷体" w:eastAsia="楷体" w:cs="楷体"/>
          <w:kern w:val="0"/>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三是加强粮食储备流通过程中的节粮减损指导。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发改局</w:t>
      </w:r>
      <w:r>
        <w:rPr>
          <w:rFonts w:hint="eastAsia" w:ascii="楷体" w:hAnsi="楷体" w:eastAsia="楷体" w:cs="楷体"/>
          <w:kern w:val="0"/>
          <w:sz w:val="32"/>
          <w:szCs w:val="32"/>
          <w:lang w:eastAsia="zh-CN"/>
        </w:rPr>
        <w:t>〕</w:t>
      </w: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四是督促食品销售企业严格落实临近保质期食品销售要求。以婚宴、自助餐为重点加强监管执法。采用捐赠、拍卖、义卖等方式，提升食品抽检合格备份样品再利用效率。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市场监管分局</w:t>
      </w:r>
      <w:r>
        <w:rPr>
          <w:rFonts w:hint="eastAsia" w:ascii="楷体" w:hAnsi="楷体" w:eastAsia="楷体" w:cs="楷体"/>
          <w:kern w:val="0"/>
          <w:sz w:val="32"/>
          <w:szCs w:val="32"/>
          <w:lang w:eastAsia="zh-CN"/>
        </w:rPr>
        <w:t>〕</w:t>
      </w: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五是加强反食品浪费宣传，倡导节俭风尚，推广典型经验，曝光负面案例。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党群工作部、发改局、经合局、市场监管分局</w:t>
      </w:r>
      <w:r>
        <w:rPr>
          <w:rFonts w:hint="eastAsia" w:ascii="楷体" w:hAnsi="楷体" w:eastAsia="楷体" w:cs="楷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仿宋_GB2312" w:hAnsi="楷体" w:eastAsia="黑体"/>
          <w:sz w:val="32"/>
          <w:lang w:eastAsia="zh-CN"/>
        </w:rPr>
      </w:pPr>
      <w:r>
        <w:rPr>
          <w:rFonts w:hint="eastAsia" w:ascii="黑体" w:hAnsi="黑体" w:eastAsia="黑体" w:cs="黑体"/>
          <w:sz w:val="33"/>
          <w:szCs w:val="33"/>
        </w:rPr>
        <w:t>四、</w:t>
      </w:r>
      <w:r>
        <w:rPr>
          <w:rFonts w:hint="eastAsia" w:ascii="黑体" w:hAnsi="黑体" w:eastAsia="黑体" w:cs="黑体"/>
          <w:sz w:val="33"/>
          <w:szCs w:val="33"/>
          <w:lang w:eastAsia="zh-CN"/>
        </w:rPr>
        <w:t>压实</w:t>
      </w:r>
      <w:r>
        <w:rPr>
          <w:rFonts w:hint="eastAsia" w:ascii="黑体" w:hAnsi="黑体" w:eastAsia="黑体" w:cs="黑体"/>
          <w:sz w:val="33"/>
          <w:szCs w:val="33"/>
        </w:rPr>
        <w:t>主体责任</w:t>
      </w:r>
      <w:r>
        <w:rPr>
          <w:rFonts w:hint="eastAsia" w:ascii="黑体" w:hAnsi="黑体" w:eastAsia="黑体" w:cs="黑体"/>
          <w:sz w:val="33"/>
          <w:szCs w:val="33"/>
          <w:lang w:eastAsia="zh-CN"/>
        </w:rPr>
        <w:t>，规范生产经营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（十二）压紧压实食品质量安全管理责任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一是加强屠宰行业管理，督促屠宰企业严格落实畜产品质量安全主体责任。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发改局</w:t>
      </w:r>
      <w:r>
        <w:rPr>
          <w:rFonts w:hint="eastAsia" w:ascii="楷体" w:hAnsi="楷体" w:eastAsia="楷体" w:cs="楷体"/>
          <w:kern w:val="0"/>
          <w:sz w:val="32"/>
          <w:szCs w:val="32"/>
          <w:lang w:eastAsia="zh-CN"/>
        </w:rPr>
        <w:t>〕</w:t>
      </w:r>
    </w:p>
    <w:p>
      <w:pPr>
        <w:pStyle w:val="2"/>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s="Times New Roman"/>
          <w:sz w:val="33"/>
          <w:szCs w:val="33"/>
          <w:lang w:eastAsia="zh-CN"/>
        </w:rPr>
      </w:pPr>
      <w:r>
        <w:rPr>
          <w:rFonts w:hint="eastAsia" w:ascii="仿宋_GB2312" w:hAnsi="仿宋_GB2312" w:eastAsia="仿宋_GB2312" w:cs="仿宋_GB2312"/>
          <w:kern w:val="0"/>
          <w:sz w:val="32"/>
          <w:szCs w:val="32"/>
          <w:lang w:val="en-US" w:eastAsia="zh-CN" w:bidi="ar-SA"/>
        </w:rPr>
        <w:t>二是全面推行食用农产品承诺达标合格证制度。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发改局</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市场监管分局</w:t>
      </w:r>
      <w:r>
        <w:rPr>
          <w:rFonts w:hint="eastAsia" w:ascii="楷体" w:hAnsi="楷体" w:eastAsia="楷体" w:cs="楷体"/>
          <w:kern w:val="0"/>
          <w:sz w:val="32"/>
          <w:szCs w:val="32"/>
          <w:lang w:eastAsia="zh-CN"/>
        </w:rPr>
        <w:t>〕</w:t>
      </w: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三是完善粮食质量安全管理制度，规范生产者、经营者和安全管理人员行为。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发改局</w:t>
      </w: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市场监管分局</w:t>
      </w:r>
      <w:r>
        <w:rPr>
          <w:rFonts w:hint="eastAsia" w:ascii="楷体" w:hAnsi="楷体" w:eastAsia="楷体" w:cs="楷体"/>
          <w:kern w:val="0"/>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（十三）推广食品安全责任保险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优化食品安全责任保险政策环境，鼓励和支持食品企业购买食品安全责任保险，推动地方健全食品安全责任保险工作机制。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市场监管分局</w:t>
      </w:r>
      <w:r>
        <w:rPr>
          <w:rFonts w:hint="eastAsia" w:ascii="楷体" w:hAnsi="楷体" w:eastAsia="楷体" w:cs="楷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pPr>
      <w:r>
        <w:rPr>
          <w:rFonts w:hint="eastAsia" w:ascii="黑体" w:hAnsi="黑体" w:eastAsia="黑体" w:cs="黑体"/>
          <w:sz w:val="33"/>
          <w:szCs w:val="33"/>
        </w:rPr>
        <w:t>五、</w:t>
      </w:r>
      <w:r>
        <w:rPr>
          <w:rFonts w:hint="eastAsia" w:ascii="黑体" w:hAnsi="黑体" w:eastAsia="黑体"/>
          <w:sz w:val="32"/>
          <w:szCs w:val="32"/>
          <w:lang w:eastAsia="zh-CN"/>
        </w:rPr>
        <w:t>依法打击治理，严惩违法行为</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（十四）严厉打击违法犯罪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一是深入开展“铁拳”行动和“春雷行动</w:t>
      </w:r>
      <w:r>
        <w:rPr>
          <w:rFonts w:hint="eastAsia" w:ascii="Times New Roman" w:hAnsi="Times New Roman" w:eastAsia="仿宋_GB2312" w:cs="仿宋_GB2312"/>
          <w:kern w:val="0"/>
          <w:sz w:val="32"/>
          <w:szCs w:val="32"/>
          <w:lang w:eastAsia="zh-CN"/>
        </w:rPr>
        <w:t>2023</w:t>
      </w:r>
      <w:r>
        <w:rPr>
          <w:rFonts w:hint="eastAsia" w:ascii="仿宋_GB2312" w:hAnsi="仿宋_GB2312" w:eastAsia="仿宋_GB2312" w:cs="仿宋_GB2312"/>
          <w:kern w:val="0"/>
          <w:sz w:val="32"/>
          <w:szCs w:val="32"/>
          <w:lang w:eastAsia="zh-CN"/>
        </w:rPr>
        <w:t>”，聚焦重点领域查办一批违法案件，严打重处性质恶劣的违法行为。落实“处罚到人”要求，依法实施行业禁入。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市场监管分局</w:t>
      </w:r>
      <w:r>
        <w:rPr>
          <w:rFonts w:hint="eastAsia" w:ascii="楷体" w:hAnsi="楷体" w:eastAsia="楷体" w:cs="楷体"/>
          <w:kern w:val="0"/>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二是开展“昆仑”专项行动，突出打击食用农产品领域多发性“潜规则”、食品非法添加，以及餐饮环节制售劣质食品、不符合食品安全标准食品违法犯罪活动。组织非法添加新型化学衍生物犯罪集中破案攻坚。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公安分局〕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kern w:val="0"/>
          <w:sz w:val="32"/>
          <w:szCs w:val="32"/>
          <w:lang w:eastAsia="zh-CN"/>
        </w:rPr>
        <w:t>三是</w:t>
      </w:r>
      <w:r>
        <w:rPr>
          <w:rFonts w:hint="eastAsia" w:ascii="Times New Roman" w:hAnsi="Times New Roman" w:eastAsia="仿宋_GB2312" w:cs="Times New Roman"/>
          <w:color w:val="auto"/>
          <w:sz w:val="33"/>
          <w:szCs w:val="33"/>
          <w:lang w:eastAsia="zh-CN"/>
        </w:rPr>
        <w:t>开展进口食品“国门守护”行动，严厉打击冻品、农产品等走私违法犯罪活动。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color w:val="auto"/>
          <w:kern w:val="0"/>
          <w:sz w:val="32"/>
          <w:szCs w:val="32"/>
          <w:lang w:eastAsia="zh-CN"/>
        </w:rPr>
      </w:pPr>
      <w:r>
        <w:rPr>
          <w:rFonts w:hint="eastAsia" w:ascii="楷体" w:hAnsi="楷体" w:eastAsia="楷体" w:cs="楷体"/>
          <w:color w:val="auto"/>
          <w:kern w:val="0"/>
          <w:sz w:val="32"/>
          <w:szCs w:val="32"/>
          <w:lang w:eastAsia="zh-CN"/>
        </w:rPr>
        <w:t>〔</w:t>
      </w:r>
      <w:r>
        <w:rPr>
          <w:rFonts w:hint="eastAsia" w:ascii="楷体" w:hAnsi="楷体" w:eastAsia="楷体" w:cs="楷体"/>
          <w:color w:val="auto"/>
          <w:kern w:val="0"/>
          <w:sz w:val="32"/>
          <w:szCs w:val="32"/>
          <w:lang w:val="en-US" w:eastAsia="zh-CN"/>
        </w:rPr>
        <w:t>责任单位：</w:t>
      </w:r>
      <w:r>
        <w:rPr>
          <w:rFonts w:hint="eastAsia" w:ascii="楷体" w:hAnsi="楷体" w:eastAsia="楷体" w:cs="楷体"/>
          <w:color w:val="auto"/>
          <w:kern w:val="0"/>
          <w:sz w:val="32"/>
          <w:szCs w:val="32"/>
          <w:lang w:eastAsia="zh-CN"/>
        </w:rPr>
        <w:t>公安分局、经合局〕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四是严厉打击使用禁限用药物、私屠滥宰、屠宰病死畜禽等违法违规行为。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color w:val="auto"/>
          <w:kern w:val="0"/>
          <w:sz w:val="32"/>
          <w:szCs w:val="32"/>
          <w:lang w:eastAsia="zh-CN"/>
        </w:rPr>
      </w:pPr>
      <w:r>
        <w:rPr>
          <w:rFonts w:hint="eastAsia" w:ascii="楷体" w:hAnsi="楷体" w:eastAsia="楷体" w:cs="楷体"/>
          <w:color w:val="auto"/>
          <w:kern w:val="0"/>
          <w:sz w:val="32"/>
          <w:szCs w:val="32"/>
          <w:lang w:eastAsia="zh-CN"/>
        </w:rPr>
        <w:t>〔</w:t>
      </w:r>
      <w:r>
        <w:rPr>
          <w:rFonts w:hint="eastAsia" w:ascii="楷体" w:hAnsi="楷体" w:eastAsia="楷体" w:cs="楷体"/>
          <w:color w:val="auto"/>
          <w:kern w:val="0"/>
          <w:sz w:val="32"/>
          <w:szCs w:val="32"/>
          <w:lang w:val="en-US" w:eastAsia="zh-CN"/>
        </w:rPr>
        <w:t>责任单位：</w:t>
      </w:r>
      <w:r>
        <w:rPr>
          <w:rFonts w:hint="eastAsia" w:ascii="楷体" w:hAnsi="楷体" w:eastAsia="楷体" w:cs="楷体"/>
          <w:color w:val="auto"/>
          <w:kern w:val="0"/>
          <w:sz w:val="32"/>
          <w:szCs w:val="32"/>
          <w:lang w:eastAsia="zh-CN"/>
        </w:rPr>
        <w:t>发改局〕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五是完善农产品质量安全、市场监督管理等领域行刑衔接工作机制。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0"/>
          <w:sz w:val="32"/>
          <w:szCs w:val="32"/>
          <w:lang w:eastAsia="zh-CN"/>
        </w:rPr>
      </w:pPr>
      <w:r>
        <w:rPr>
          <w:rFonts w:hint="eastAsia" w:ascii="楷体" w:hAnsi="楷体" w:eastAsia="楷体" w:cs="楷体"/>
          <w:color w:val="auto"/>
          <w:kern w:val="0"/>
          <w:sz w:val="32"/>
          <w:szCs w:val="32"/>
          <w:lang w:eastAsia="zh-CN"/>
        </w:rPr>
        <w:t>〔</w:t>
      </w:r>
      <w:r>
        <w:rPr>
          <w:rFonts w:hint="eastAsia" w:ascii="楷体" w:hAnsi="楷体" w:eastAsia="楷体" w:cs="楷体"/>
          <w:color w:val="auto"/>
          <w:kern w:val="0"/>
          <w:sz w:val="32"/>
          <w:szCs w:val="32"/>
          <w:lang w:val="en-US" w:eastAsia="zh-CN"/>
        </w:rPr>
        <w:t>责任单位：</w:t>
      </w:r>
      <w:r>
        <w:rPr>
          <w:rFonts w:hint="eastAsia" w:ascii="楷体" w:hAnsi="楷体" w:eastAsia="楷体" w:cs="楷体"/>
          <w:color w:val="auto"/>
          <w:kern w:val="0"/>
          <w:sz w:val="32"/>
          <w:szCs w:val="32"/>
          <w:lang w:eastAsia="zh-CN"/>
        </w:rPr>
        <w:t>发改局、</w:t>
      </w:r>
      <w:r>
        <w:rPr>
          <w:rFonts w:hint="default" w:ascii="楷体" w:hAnsi="楷体" w:eastAsia="楷体" w:cs="楷体"/>
          <w:color w:val="auto"/>
          <w:kern w:val="0"/>
          <w:sz w:val="32"/>
          <w:szCs w:val="32"/>
          <w:lang w:eastAsia="zh-CN"/>
        </w:rPr>
        <w:t>市场监管分局</w:t>
      </w:r>
      <w:r>
        <w:rPr>
          <w:rFonts w:hint="eastAsia" w:ascii="楷体" w:hAnsi="楷体" w:eastAsia="楷体" w:cs="楷体"/>
          <w:color w:val="auto"/>
          <w:kern w:val="0"/>
          <w:sz w:val="32"/>
          <w:szCs w:val="32"/>
          <w:lang w:eastAsia="zh-CN"/>
        </w:rPr>
        <w:t>、公安分局〕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六是</w:t>
      </w:r>
      <w:r>
        <w:rPr>
          <w:rFonts w:hint="eastAsia" w:ascii="Times New Roman" w:hAnsi="Times New Roman" w:eastAsia="仿宋_GB2312" w:cs="Times New Roman"/>
          <w:color w:val="auto"/>
          <w:sz w:val="33"/>
          <w:szCs w:val="33"/>
          <w:lang w:eastAsia="zh-CN"/>
        </w:rPr>
        <w:t>深化食品安全民事公益诉讼惩罚性赔偿制度研究，积极开展实践探索。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司法分局</w:t>
      </w:r>
      <w:r>
        <w:rPr>
          <w:rFonts w:hint="eastAsia" w:ascii="楷体" w:hAnsi="楷体" w:eastAsia="楷体" w:cs="楷体"/>
          <w:kern w:val="0"/>
          <w:sz w:val="32"/>
          <w:szCs w:val="32"/>
          <w:lang w:eastAsia="zh-CN"/>
        </w:rPr>
        <w:t>，发改局、</w:t>
      </w:r>
      <w:r>
        <w:rPr>
          <w:rFonts w:hint="default" w:ascii="楷体" w:hAnsi="楷体" w:eastAsia="楷体" w:cs="楷体"/>
          <w:kern w:val="0"/>
          <w:sz w:val="32"/>
          <w:szCs w:val="32"/>
          <w:lang w:eastAsia="zh-CN"/>
        </w:rPr>
        <w:t>市场监管分局</w:t>
      </w:r>
      <w:r>
        <w:rPr>
          <w:rFonts w:hint="eastAsia" w:ascii="楷体" w:hAnsi="楷体" w:eastAsia="楷体" w:cs="楷体"/>
          <w:kern w:val="0"/>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（十五）强化信用联合惩戒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是建立完善食品生产经营企业信用档案，制定《遂宁市食品生产企业食品安全信用风险分类分级监管工作规范》，实行食品生产经营企业信用分级分类管理，综合食品安全风险与信用风险因素，科学评定企业风险等级。按照“谁产生、谁提供、谁负责”的原则，将抽检不合格信息、行政处罚信息等纳入全国信用信息共享平台及国家企业信用信息公示系统，依法将相关市场主体列入严重违法失信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市场监管分局〕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二是推动食品工业诚信体系建设，指导评价机构开展诚信评价工作。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经合局〕</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pPr>
      <w:r>
        <w:rPr>
          <w:rFonts w:hint="eastAsia" w:ascii="黑体" w:hAnsi="黑体" w:eastAsia="黑体" w:cs="黑体"/>
          <w:sz w:val="33"/>
          <w:szCs w:val="33"/>
        </w:rPr>
        <w:t>六、</w:t>
      </w:r>
      <w:r>
        <w:rPr>
          <w:rFonts w:hint="eastAsia" w:ascii="黑体" w:hAnsi="黑体" w:eastAsia="黑体"/>
          <w:sz w:val="32"/>
          <w:szCs w:val="32"/>
          <w:lang w:eastAsia="zh-CN"/>
        </w:rPr>
        <w:t>健全工作体系</w:t>
      </w:r>
      <w:r>
        <w:rPr>
          <w:rFonts w:hint="eastAsia" w:ascii="黑体" w:hAnsi="黑体" w:eastAsia="黑体" w:cs="黑体"/>
          <w:sz w:val="33"/>
          <w:szCs w:val="33"/>
          <w:lang w:eastAsia="zh-CN"/>
        </w:rPr>
        <w:t>，</w:t>
      </w:r>
      <w:r>
        <w:rPr>
          <w:rFonts w:hint="eastAsia" w:ascii="黑体" w:hAnsi="黑体" w:eastAsia="黑体"/>
          <w:sz w:val="32"/>
          <w:szCs w:val="32"/>
          <w:lang w:eastAsia="zh-CN"/>
        </w:rPr>
        <w:t>提升监管</w:t>
      </w:r>
      <w:r>
        <w:rPr>
          <w:rFonts w:hint="eastAsia" w:ascii="黑体" w:hAnsi="黑体" w:eastAsia="黑体" w:cs="黑体"/>
          <w:color w:val="000000"/>
          <w:sz w:val="32"/>
          <w:szCs w:val="32"/>
        </w:rPr>
        <w:t>效能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（十六）加强统筹指导和综合协调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探索各级食品安全办实体化运行机制，发挥综合协调作用，统筹凝聚工作合力。完善食品安全应急体系，适时修订《遂宁市食品安全突发事件应急预案（试行）》。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新区食品安全办〕</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（十七）提升风险评估与抽检监测水平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一是加强食品安全风险监测结果部门通报会商和信息交流。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社事群工局、</w:t>
      </w:r>
      <w:r>
        <w:rPr>
          <w:rFonts w:hint="eastAsia" w:ascii="楷体" w:hAnsi="楷体" w:eastAsia="楷体" w:cs="楷体"/>
          <w:kern w:val="0"/>
          <w:sz w:val="32"/>
          <w:szCs w:val="32"/>
          <w:lang w:eastAsia="zh-CN"/>
        </w:rPr>
        <w:t>市场监管分局〕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二是持续优化“统一抽检、集中招标”工作模式，市场监管部门食品抽检量达到</w:t>
      </w:r>
      <w:r>
        <w:rPr>
          <w:rFonts w:hint="eastAsia" w:ascii="Times New Roman" w:hAnsi="Times New Roman" w:eastAsia="仿宋_GB2312" w:cs="仿宋_GB2312"/>
          <w:kern w:val="0"/>
          <w:sz w:val="32"/>
          <w:szCs w:val="32"/>
          <w:lang w:eastAsia="zh-CN"/>
        </w:rPr>
        <w:t>3</w:t>
      </w:r>
      <w:r>
        <w:rPr>
          <w:rFonts w:hint="eastAsia" w:ascii="仿宋_GB2312" w:hAnsi="仿宋_GB2312" w:eastAsia="仿宋_GB2312" w:cs="仿宋_GB2312"/>
          <w:kern w:val="0"/>
          <w:sz w:val="32"/>
          <w:szCs w:val="32"/>
          <w:lang w:eastAsia="zh-CN"/>
        </w:rPr>
        <w:t>.</w:t>
      </w:r>
      <w:r>
        <w:rPr>
          <w:rFonts w:hint="eastAsia" w:ascii="Times New Roman" w:hAnsi="Times New Roman" w:eastAsia="仿宋_GB2312" w:cs="仿宋_GB2312"/>
          <w:kern w:val="0"/>
          <w:sz w:val="32"/>
          <w:szCs w:val="32"/>
          <w:lang w:eastAsia="zh-CN"/>
        </w:rPr>
        <w:t>2</w:t>
      </w:r>
      <w:r>
        <w:rPr>
          <w:rFonts w:hint="eastAsia" w:ascii="仿宋_GB2312" w:hAnsi="仿宋_GB2312" w:eastAsia="仿宋_GB2312" w:cs="仿宋_GB2312"/>
          <w:kern w:val="0"/>
          <w:sz w:val="32"/>
          <w:szCs w:val="32"/>
          <w:lang w:eastAsia="zh-CN"/>
        </w:rPr>
        <w:t>批次/千人。选择重点品种项目，探索开展延伸性监测。加强食品相关产品监督抽查和风险监测。探索实施“遂心检”工程，推动“你点我检”活动常态化、规范化。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市场监管分局〕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三是强化农产品质量安全风险监测，加大豇豆等品种监测频次。市县农业农村部门开展农产品质量安全定量监测总样品量达到</w:t>
      </w:r>
      <w:r>
        <w:rPr>
          <w:rFonts w:hint="eastAsia" w:ascii="Times New Roman" w:hAnsi="Times New Roman" w:eastAsia="仿宋_GB2312" w:cs="仿宋_GB2312"/>
          <w:kern w:val="0"/>
          <w:sz w:val="32"/>
          <w:szCs w:val="32"/>
          <w:lang w:eastAsia="zh-CN"/>
        </w:rPr>
        <w:t>1</w:t>
      </w:r>
      <w:r>
        <w:rPr>
          <w:rFonts w:hint="eastAsia" w:ascii="仿宋_GB2312" w:hAnsi="仿宋_GB2312" w:eastAsia="仿宋_GB2312" w:cs="仿宋_GB2312"/>
          <w:kern w:val="0"/>
          <w:sz w:val="32"/>
          <w:szCs w:val="32"/>
          <w:lang w:val="en-US" w:eastAsia="zh-CN"/>
        </w:rPr>
        <w:t>.</w:t>
      </w:r>
      <w:r>
        <w:rPr>
          <w:rFonts w:hint="eastAsia" w:ascii="Times New Roman" w:hAnsi="Times New Roman"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批次/千人。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发改局</w:t>
      </w:r>
      <w:r>
        <w:rPr>
          <w:rFonts w:hint="eastAsia" w:ascii="楷体" w:hAnsi="楷体" w:eastAsia="楷体" w:cs="楷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四是强化粮食质量安全检验监测体系建设，提升粮食检验监测能力。有针对性地对重点品种和地区实施重点监测。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发改局</w:t>
      </w:r>
      <w:r>
        <w:rPr>
          <w:rFonts w:hint="eastAsia" w:ascii="楷体" w:hAnsi="楷体" w:eastAsia="楷体" w:cs="楷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五是配合制定市级食用林产品质量安全监测方案，配合开展省级食用林产品及产地土壤质量监测。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自规分局</w:t>
      </w:r>
      <w:r>
        <w:rPr>
          <w:rFonts w:hint="eastAsia" w:ascii="楷体" w:hAnsi="楷体" w:eastAsia="楷体" w:cs="楷体"/>
          <w:kern w:val="0"/>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（十八）</w:t>
      </w:r>
      <w:r>
        <w:rPr>
          <w:rFonts w:hint="eastAsia" w:ascii="楷体_GB2312" w:hAnsi="楷体_GB2312" w:eastAsia="楷体_GB2312" w:cs="楷体_GB2312"/>
          <w:sz w:val="32"/>
          <w:szCs w:val="32"/>
          <w:lang w:val="en-US" w:eastAsia="zh-CN"/>
        </w:rPr>
        <w:t>持续推进农贸市场治理提升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贯彻落实《遂宁市城区农贸市场管理条例》，按照“分级负责、分工合作”的原则，探索建立农贸市场“周检查、月评分、季排位、年定级”的长效监管机制。推动市中心城区新建及改造提升农贸市场</w:t>
      </w:r>
      <w:r>
        <w:rPr>
          <w:rFonts w:hint="eastAsia" w:ascii="Times New Roman" w:hAnsi="Times New Roman" w:eastAsia="仿宋_GB2312" w:cs="仿宋_GB2312"/>
          <w:kern w:val="0"/>
          <w:sz w:val="32"/>
          <w:szCs w:val="32"/>
          <w:lang w:val="en-US" w:eastAsia="zh-CN"/>
        </w:rPr>
        <w:t>20</w:t>
      </w:r>
      <w:r>
        <w:rPr>
          <w:rFonts w:hint="eastAsia" w:ascii="仿宋_GB2312" w:hAnsi="仿宋_GB2312" w:eastAsia="仿宋_GB2312" w:cs="仿宋_GB2312"/>
          <w:kern w:val="0"/>
          <w:sz w:val="32"/>
          <w:szCs w:val="32"/>
          <w:lang w:val="en-US" w:eastAsia="zh-CN"/>
        </w:rPr>
        <w:t>个，推进农贸市场赋码管理加强信息化建设，打造示范农贸市场，争创省级</w:t>
      </w:r>
      <w:r>
        <w:rPr>
          <w:rFonts w:hint="eastAsia" w:ascii="Times New Roman" w:hAnsi="Times New Roman" w:eastAsia="仿宋_GB2312" w:cs="仿宋_GB2312"/>
          <w:kern w:val="0"/>
          <w:sz w:val="32"/>
          <w:szCs w:val="32"/>
          <w:lang w:val="en-US" w:eastAsia="zh-CN"/>
        </w:rPr>
        <w:t>3</w:t>
      </w:r>
      <w:r>
        <w:rPr>
          <w:rFonts w:hint="eastAsia" w:ascii="仿宋_GB2312" w:hAnsi="仿宋_GB2312" w:eastAsia="仿宋_GB2312" w:cs="仿宋_GB2312"/>
          <w:kern w:val="0"/>
          <w:sz w:val="32"/>
          <w:szCs w:val="32"/>
          <w:lang w:val="en-US" w:eastAsia="zh-CN"/>
        </w:rPr>
        <w:t>A农贸市场。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市场监管分局〕</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（十九）推进智慧监管</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一是</w:t>
      </w:r>
      <w:r>
        <w:rPr>
          <w:rFonts w:hint="eastAsia" w:ascii="仿宋_GB2312" w:hAnsi="仿宋_GB2312" w:eastAsia="仿宋_GB2312" w:cs="仿宋_GB2312"/>
          <w:color w:val="auto"/>
          <w:kern w:val="0"/>
          <w:sz w:val="32"/>
          <w:szCs w:val="32"/>
          <w:lang w:val="en-US" w:eastAsia="zh-CN"/>
        </w:rPr>
        <w:t>配合</w:t>
      </w:r>
      <w:r>
        <w:rPr>
          <w:rFonts w:hint="eastAsia" w:ascii="仿宋_GB2312" w:hAnsi="仿宋_GB2312" w:eastAsia="仿宋_GB2312" w:cs="仿宋_GB2312"/>
          <w:color w:val="auto"/>
          <w:sz w:val="32"/>
          <w:szCs w:val="32"/>
          <w:lang w:eastAsia="zh-CN"/>
        </w:rPr>
        <w:t>建设“遂宁市志愿监督服务管理平台”，实现风险隐患“随时拍”“随手传”和食品安全风险隐患“实时上传+分级处置+销号督导”的市、县、所三级处置机制，并通过系统指挥平台开展绩效评价统计。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新区食安办〕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二是推进食品安全监管平台与食品安全“两个责任”工作平台运用，推动数据及时准确归集，加强数据统计和分析研判。开展食品安全监管工作数据质量提升行动。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市场监管分局〕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三是推进食品安全监管平台与食品安全“两个责任”工作平台运用，推动数据及时准确归集，加强数据统计和分析研判。开展食品安全监管工作数据质量提升行动。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default" w:ascii="楷体" w:hAnsi="楷体" w:eastAsia="楷体" w:cs="楷体"/>
          <w:kern w:val="0"/>
          <w:sz w:val="32"/>
          <w:szCs w:val="32"/>
          <w:lang w:eastAsia="zh-CN"/>
        </w:rPr>
        <w:t>社事群工局</w:t>
      </w:r>
      <w:r>
        <w:rPr>
          <w:rFonts w:hint="eastAsia" w:ascii="楷体" w:hAnsi="楷体" w:eastAsia="楷体" w:cs="楷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四是继续开展“阳光农安”试点工作，推进生产记录便捷化、电子化。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发改局〕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五是开展食品安全智慧监管与控制关键技术研究，提升食品安全精细化主动防控水平。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发改局〕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六是探索推进食用农产品全程追溯。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发改局、市场监管分局〕</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（二十）强化技术支撑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一是稳定和加强农产品质量安全检验检测体系，实施市县农产品质量安全检测机构能力提升行动。集成推广绿色防控技术，从源头降低农药使用安全风险。积极推广胶体金快检技术。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发改局〕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二是大力推进食品安全关键技术研发，加强相关科技创新基地平台建设。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发改局〕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三是健全完善中小微食品生产企业质量安全控制体系，探索区域共建共享检验模式，积极引入现代先进杀菌工艺，提升本地食品监督抽检合格率，防范和化解连续</w:t>
      </w:r>
      <w:r>
        <w:rPr>
          <w:rFonts w:hint="eastAsia" w:ascii="Times New Roman" w:hAnsi="Times New Roman" w:eastAsia="仿宋_GB2312" w:cs="仿宋_GB2312"/>
          <w:kern w:val="0"/>
          <w:sz w:val="32"/>
          <w:szCs w:val="32"/>
          <w:lang w:eastAsia="zh-CN"/>
        </w:rPr>
        <w:t>2</w:t>
      </w:r>
      <w:r>
        <w:rPr>
          <w:rFonts w:hint="eastAsia" w:ascii="仿宋_GB2312" w:hAnsi="仿宋_GB2312" w:eastAsia="仿宋_GB2312" w:cs="仿宋_GB2312"/>
          <w:kern w:val="0"/>
          <w:sz w:val="32"/>
          <w:szCs w:val="32"/>
          <w:lang w:eastAsia="zh-CN"/>
        </w:rPr>
        <w:t>年或一年多批次抽检不合格风险。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市场监管分局〕</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（二十一）提升基层监管能力建设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一是加强基层市场监管局、市场监管所标准化规范化建设。深入研究食品安全穿透式监管内涵和外延，在实践基础上探索建立穿透式监管工作机制、工作方法、工作流程。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市场监管分局〕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二是将食品安全工作纳入基层治理网格化服务管理体系，用好街道、社区等基层工作力量，打通食品安全治理“最后一公里”。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责任单位：各街道办（管理办）、</w:t>
      </w:r>
      <w:r>
        <w:rPr>
          <w:rFonts w:hint="eastAsia" w:ascii="楷体" w:hAnsi="楷体" w:eastAsia="楷体" w:cs="楷体"/>
          <w:kern w:val="0"/>
          <w:sz w:val="32"/>
          <w:szCs w:val="32"/>
          <w:lang w:eastAsia="zh-CN"/>
        </w:rPr>
        <w:t>市场监管分局〕</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sz w:val="33"/>
          <w:szCs w:val="33"/>
        </w:rPr>
      </w:pPr>
      <w:r>
        <w:rPr>
          <w:rFonts w:hint="eastAsia" w:ascii="黑体" w:hAnsi="黑体" w:eastAsia="黑体" w:cs="黑体"/>
          <w:sz w:val="33"/>
          <w:szCs w:val="33"/>
        </w:rPr>
        <w:t>七、</w:t>
      </w:r>
      <w:r>
        <w:rPr>
          <w:rFonts w:hint="eastAsia" w:ascii="黑体" w:hAnsi="黑体" w:eastAsia="黑体" w:cs="黑体"/>
          <w:sz w:val="33"/>
          <w:szCs w:val="33"/>
          <w:lang w:eastAsia="zh-CN"/>
        </w:rPr>
        <w:t>注重</w:t>
      </w:r>
      <w:r>
        <w:rPr>
          <w:rFonts w:hint="eastAsia" w:ascii="黑体" w:hAnsi="黑体" w:eastAsia="黑体" w:cs="黑体"/>
          <w:color w:val="000000"/>
          <w:sz w:val="32"/>
          <w:szCs w:val="32"/>
          <w:lang w:eastAsia="zh-CN"/>
        </w:rPr>
        <w:t>提质增效，推动产业升级</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（二十二）推进许可认证制度改革</w:t>
      </w: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一是强化地方食品经营许可数据归集和电子证推广。推进食品生产许可“全程网办”，实现食品生产许可证电子证书管理。全面推动实施“开饭店一件事一次办”工作。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〔责任单位：市场监管分局〕</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是推动有机产品认证等食品农产品认证实施工作。开展质量管理体系认证提升行动，实施危害分析和关键控制点相关认证的企业明显增加，推进食品生产企业“认证＋监管”联动机制，着力提升食品安全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〔责任单位：市场监管分局、发改局〕</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（二十三）促进产业转型升级</w:t>
      </w: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一是建立优质农产品生产基地目录，扩大绿色优质农产品生产。深入开展屠宰企业撤停并转，加快淘汰落后产能和技术。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发改局〕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二是</w:t>
      </w:r>
      <w:r>
        <w:rPr>
          <w:rFonts w:hint="eastAsia" w:ascii="仿宋_GB2312" w:hAnsi="仿宋_GB2312" w:eastAsia="仿宋_GB2312" w:cs="仿宋_GB2312"/>
          <w:kern w:val="0"/>
          <w:sz w:val="32"/>
          <w:szCs w:val="32"/>
          <w:lang w:val="en-US" w:eastAsia="zh-CN"/>
        </w:rPr>
        <w:t>指导各地确立地方特色食品产业重点培育优势产区、核心产业链。推动食品工业的预制化发展。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经合局〕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三是</w:t>
      </w:r>
      <w:r>
        <w:rPr>
          <w:rFonts w:hint="eastAsia" w:ascii="仿宋_GB2312" w:hAnsi="仿宋_GB2312" w:eastAsia="仿宋_GB2312" w:cs="仿宋_GB2312"/>
          <w:kern w:val="0"/>
          <w:sz w:val="32"/>
          <w:szCs w:val="32"/>
          <w:lang w:val="en-US" w:eastAsia="zh-CN"/>
        </w:rPr>
        <w:t>开展“千企万坊”帮扶行动，促进企业建设高标准食品安全管理体系。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市场监管分局〕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四是围绕肉制品、预制菜等本地特色重点食品产业，结合市场准入、质量监管、标准引领、知识产权等职能职责，全方位建立帮扶联系机制，促进相关食品产业高质量发展。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市场监管分局〕</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color w:val="auto"/>
          <w:sz w:val="33"/>
          <w:szCs w:val="33"/>
        </w:rPr>
      </w:pPr>
      <w:r>
        <w:rPr>
          <w:rFonts w:hint="eastAsia" w:ascii="黑体" w:hAnsi="黑体" w:eastAsia="黑体" w:cs="黑体"/>
          <w:color w:val="auto"/>
          <w:sz w:val="33"/>
          <w:szCs w:val="33"/>
        </w:rPr>
        <w:t>八、推进社会共治</w:t>
      </w:r>
      <w:r>
        <w:rPr>
          <w:rFonts w:hint="eastAsia" w:ascii="黑体" w:hAnsi="黑体" w:eastAsia="黑体" w:cs="黑体"/>
          <w:color w:val="auto"/>
          <w:sz w:val="32"/>
          <w:szCs w:val="32"/>
          <w:lang w:eastAsia="zh-CN"/>
        </w:rPr>
        <w:t>，共享</w:t>
      </w:r>
      <w:r>
        <w:rPr>
          <w:rFonts w:hint="eastAsia" w:ascii="黑体" w:hAnsi="黑体" w:eastAsia="黑体" w:cs="黑体"/>
          <w:color w:val="auto"/>
          <w:sz w:val="33"/>
          <w:szCs w:val="33"/>
        </w:rPr>
        <w:t>食品安全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（二十四）实施“食品安全”示范引领行动</w:t>
      </w:r>
    </w:p>
    <w:p>
      <w:pPr>
        <w:pStyle w:val="2"/>
        <w:keepNext w:val="0"/>
        <w:keepLines w:val="0"/>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在慈音街道食品安全示范街道创建成功的基础上，充分发挥示范引领作用，带动灵泉、杨渡街道积极开展食品安全示范街道创建。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〔责任单位：新区食安办〕</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（二十五）开展宣传引导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一是</w:t>
      </w:r>
      <w:r>
        <w:rPr>
          <w:rFonts w:hint="eastAsia" w:ascii="仿宋_GB2312" w:hAnsi="仿宋_GB2312" w:eastAsia="仿宋_GB2312" w:cs="仿宋_GB2312"/>
          <w:kern w:val="0"/>
          <w:sz w:val="32"/>
          <w:szCs w:val="32"/>
          <w:lang w:eastAsia="zh-CN"/>
        </w:rPr>
        <w:t>举办食品安全宣传周活动。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新区食安办，食安委相关成员单位及有关部门〕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二是</w:t>
      </w:r>
      <w:r>
        <w:rPr>
          <w:rFonts w:hint="eastAsia" w:ascii="仿宋_GB2312" w:hAnsi="仿宋_GB2312" w:eastAsia="仿宋_GB2312" w:cs="仿宋_GB2312"/>
          <w:kern w:val="0"/>
          <w:sz w:val="32"/>
          <w:szCs w:val="32"/>
          <w:lang w:eastAsia="zh-CN"/>
        </w:rPr>
        <w:t>参加四川传播特殊食品好声音网络科普竞赛活动。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市场监管分局〕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三是</w:t>
      </w:r>
      <w:r>
        <w:rPr>
          <w:rFonts w:hint="eastAsia" w:ascii="仿宋_GB2312" w:hAnsi="仿宋_GB2312" w:eastAsia="仿宋_GB2312" w:cs="仿宋_GB2312"/>
          <w:kern w:val="0"/>
          <w:sz w:val="32"/>
          <w:szCs w:val="32"/>
          <w:lang w:eastAsia="zh-CN"/>
        </w:rPr>
        <w:t>组织及时报道食品安全工作成效，宣传先进典型，开展舆论引导，帮助群众提高食品安全风险防范意识和辨别能力。发挥食品安全专家委员会的作用，开展食品安全主题科普宣传教育活动，普及食品安全健康科普知识。落实“谁执法谁普法”普法责任制，加强食品安全法律法规宣传普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党群工作部、发改局、社事群工局、公安分局、司法分局、市场监管分局、经合局、自规分局〕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四是</w:t>
      </w:r>
      <w:r>
        <w:rPr>
          <w:rFonts w:hint="eastAsia" w:ascii="仿宋_GB2312" w:hAnsi="仿宋_GB2312" w:eastAsia="仿宋_GB2312" w:cs="仿宋_GB2312"/>
          <w:kern w:val="0"/>
          <w:sz w:val="32"/>
          <w:szCs w:val="32"/>
          <w:lang w:eastAsia="zh-CN"/>
        </w:rPr>
        <w:t>深入推动食品安全志愿服务发展，加强食品安全志愿者队伍建设，积极开展各类志愿活动。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新区食安办、党群工作部、发改局、社事群工局、市场监管分局〕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w:t>
      </w:r>
      <w:r>
        <w:rPr>
          <w:rFonts w:hint="eastAsia" w:ascii="黑体" w:hAnsi="黑体" w:eastAsia="黑体" w:cs="黑体"/>
          <w:color w:val="000000"/>
          <w:sz w:val="32"/>
          <w:szCs w:val="32"/>
          <w:lang w:eastAsia="zh-CN"/>
        </w:rPr>
        <w:t>压实工作</w:t>
      </w:r>
      <w:r>
        <w:rPr>
          <w:rFonts w:ascii="黑体" w:hAnsi="黑体" w:eastAsia="黑体" w:cs="黑体"/>
          <w:color w:val="000000"/>
          <w:sz w:val="32"/>
          <w:szCs w:val="32"/>
        </w:rPr>
        <w:t>责任</w:t>
      </w:r>
      <w:r>
        <w:rPr>
          <w:rFonts w:hint="eastAsia" w:ascii="黑体" w:hAnsi="黑体" w:eastAsia="黑体" w:cs="黑体"/>
          <w:color w:val="000000"/>
          <w:sz w:val="32"/>
          <w:szCs w:val="32"/>
          <w:lang w:eastAsia="zh-CN"/>
        </w:rPr>
        <w:t>，稳步组织实施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（二十六）</w:t>
      </w:r>
      <w:r>
        <w:rPr>
          <w:rFonts w:hint="eastAsia" w:ascii="楷体_GB2312" w:hAnsi="楷体_GB2312" w:eastAsia="楷体_GB2312" w:cs="楷体_GB2312"/>
          <w:sz w:val="32"/>
          <w:szCs w:val="32"/>
          <w:lang w:val="en-US" w:eastAsia="zh-CN"/>
        </w:rPr>
        <w:t>统筹推进工作，及时总结工作成效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一是</w:t>
      </w:r>
      <w:r>
        <w:rPr>
          <w:rFonts w:hint="eastAsia" w:ascii="仿宋_GB2312" w:hAnsi="仿宋_GB2312" w:eastAsia="仿宋_GB2312" w:cs="仿宋_GB2312"/>
          <w:kern w:val="0"/>
          <w:sz w:val="32"/>
          <w:szCs w:val="32"/>
          <w:lang w:eastAsia="zh-CN"/>
        </w:rPr>
        <w:t>每半年向新区食品安全办提交本部门对食品安全重点工作安排的贯彻落实情况。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责任单位：</w:t>
      </w:r>
      <w:r>
        <w:rPr>
          <w:rFonts w:hint="eastAsia" w:ascii="楷体" w:hAnsi="楷体" w:eastAsia="楷体" w:cs="楷体"/>
          <w:kern w:val="0"/>
          <w:sz w:val="32"/>
          <w:szCs w:val="32"/>
          <w:lang w:eastAsia="zh-CN"/>
        </w:rPr>
        <w:t>新区食品安全办，食安委相关成员单位及有关部门〕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kern w:val="0"/>
          <w:sz w:val="32"/>
          <w:szCs w:val="32"/>
          <w:lang w:eastAsia="zh-CN"/>
        </w:rPr>
        <w:t>二是将各街道办（管理办）对食品安全重点工作安排落实情况作为向新区党工委、管委会报告的重要内容，推动落实食品安全属地管理责任和相关部门责任</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责任</w:t>
      </w:r>
      <w:r>
        <w:rPr>
          <w:rFonts w:hint="eastAsia" w:ascii="楷体" w:hAnsi="楷体" w:eastAsia="楷体" w:cs="楷体"/>
          <w:b w:val="0"/>
          <w:bCs w:val="0"/>
          <w:sz w:val="32"/>
          <w:szCs w:val="32"/>
          <w:lang w:val="en-US" w:eastAsia="zh-CN"/>
        </w:rPr>
        <w:t>单位：</w:t>
      </w:r>
      <w:r>
        <w:rPr>
          <w:rFonts w:hint="eastAsia" w:ascii="楷体" w:hAnsi="楷体" w:eastAsia="楷体" w:cs="楷体"/>
          <w:b w:val="0"/>
          <w:bCs w:val="0"/>
          <w:sz w:val="32"/>
          <w:szCs w:val="32"/>
          <w:lang w:eastAsia="zh-CN"/>
        </w:rPr>
        <w:t>新区</w:t>
      </w:r>
      <w:r>
        <w:rPr>
          <w:rFonts w:hint="eastAsia" w:ascii="楷体" w:hAnsi="楷体" w:eastAsia="楷体" w:cs="楷体"/>
          <w:sz w:val="32"/>
          <w:szCs w:val="32"/>
          <w:lang w:eastAsia="zh-CN"/>
        </w:rPr>
        <w:t>食品安全</w:t>
      </w:r>
      <w:r>
        <w:rPr>
          <w:rFonts w:hint="eastAsia" w:ascii="楷体" w:hAnsi="楷体" w:eastAsia="楷体" w:cs="楷体"/>
          <w:b w:val="0"/>
          <w:bCs w:val="0"/>
          <w:sz w:val="32"/>
          <w:szCs w:val="32"/>
        </w:rPr>
        <w:t>办</w:t>
      </w:r>
      <w:r>
        <w:rPr>
          <w:rFonts w:hint="eastAsia" w:ascii="楷体" w:hAnsi="楷体" w:eastAsia="楷体" w:cs="楷体"/>
          <w:sz w:val="32"/>
          <w:szCs w:val="32"/>
        </w:rPr>
        <w:t>〕</w:t>
      </w:r>
    </w:p>
    <w:p>
      <w:pPr>
        <w:pStyle w:val="2"/>
      </w:pPr>
    </w:p>
    <w:p>
      <w:pPr>
        <w:rPr>
          <w:rFonts w:ascii="方正楷体_GBK" w:hAnsi="方正楷体_GBK" w:eastAsia="方正楷体_GBK" w:cs="方正楷体_GBK"/>
          <w:sz w:val="33"/>
          <w:szCs w:val="33"/>
        </w:rPr>
      </w:pPr>
    </w:p>
    <w:p>
      <w:pPr>
        <w:pStyle w:val="2"/>
        <w:rPr>
          <w:rFonts w:hint="eastAsia"/>
          <w:lang w:val="en-US" w:eastAsia="zh-CN"/>
        </w:rPr>
      </w:pPr>
    </w:p>
    <w:p>
      <w:pPr>
        <w:pStyle w:val="2"/>
        <w:rPr>
          <w:rFonts w:hint="default" w:ascii="Times New Roman" w:hAnsi="Times New Roman" w:eastAsia="仿宋_GB2312" w:cs="Times New Roman"/>
          <w:sz w:val="33"/>
          <w:szCs w:val="33"/>
          <w:lang w:val="en-US" w:eastAsia="zh-CN"/>
        </w:rPr>
      </w:pPr>
    </w:p>
    <w:p>
      <w:pPr>
        <w:pStyle w:val="19"/>
        <w:keepNext w:val="0"/>
        <w:keepLines w:val="0"/>
        <w:pageBreakBefore w:val="0"/>
        <w:widowControl w:val="0"/>
        <w:kinsoku/>
        <w:wordWrap/>
        <w:overflowPunct/>
        <w:topLinePunct w:val="0"/>
        <w:autoSpaceDE w:val="0"/>
        <w:autoSpaceDN w:val="0"/>
        <w:bidi w:val="0"/>
        <w:adjustRightInd/>
        <w:snapToGrid/>
        <w:spacing w:line="1060" w:lineRule="exact"/>
        <w:textAlignment w:val="auto"/>
        <w:rPr>
          <w:rFonts w:hint="eastAsia"/>
        </w:rPr>
      </w:pPr>
    </w:p>
    <w:p>
      <w:pPr>
        <w:pStyle w:val="19"/>
        <w:keepNext w:val="0"/>
        <w:keepLines w:val="0"/>
        <w:pageBreakBefore w:val="0"/>
        <w:widowControl w:val="0"/>
        <w:kinsoku/>
        <w:wordWrap/>
        <w:overflowPunct/>
        <w:topLinePunct w:val="0"/>
        <w:autoSpaceDE w:val="0"/>
        <w:autoSpaceDN w:val="0"/>
        <w:bidi w:val="0"/>
        <w:adjustRightInd/>
        <w:snapToGrid/>
        <w:spacing w:line="1060" w:lineRule="exact"/>
        <w:textAlignment w:val="auto"/>
        <w:rPr>
          <w:rFonts w:hint="eastAsia"/>
        </w:rPr>
      </w:pPr>
    </w:p>
    <w:p>
      <w:pPr>
        <w:pStyle w:val="19"/>
        <w:keepNext w:val="0"/>
        <w:keepLines w:val="0"/>
        <w:pageBreakBefore w:val="0"/>
        <w:widowControl w:val="0"/>
        <w:kinsoku/>
        <w:wordWrap/>
        <w:overflowPunct/>
        <w:topLinePunct w:val="0"/>
        <w:autoSpaceDE w:val="0"/>
        <w:autoSpaceDN w:val="0"/>
        <w:bidi w:val="0"/>
        <w:adjustRightInd/>
        <w:snapToGrid/>
        <w:spacing w:line="960" w:lineRule="exact"/>
        <w:textAlignment w:val="auto"/>
        <w:rPr>
          <w:rFonts w:hint="eastAsia"/>
        </w:rPr>
      </w:pPr>
    </w:p>
    <w:p>
      <w:pPr>
        <w:pStyle w:val="19"/>
        <w:keepNext w:val="0"/>
        <w:keepLines w:val="0"/>
        <w:pageBreakBefore w:val="0"/>
        <w:widowControl w:val="0"/>
        <w:kinsoku/>
        <w:wordWrap/>
        <w:overflowPunct/>
        <w:topLinePunct w:val="0"/>
        <w:autoSpaceDE w:val="0"/>
        <w:autoSpaceDN w:val="0"/>
        <w:bidi w:val="0"/>
        <w:adjustRightInd/>
        <w:snapToGrid/>
        <w:spacing w:line="960" w:lineRule="exact"/>
        <w:textAlignment w:val="auto"/>
        <w:rPr>
          <w:rFonts w:hint="eastAsia"/>
        </w:rPr>
      </w:pPr>
    </w:p>
    <w:p>
      <w:pPr>
        <w:pStyle w:val="19"/>
        <w:keepNext w:val="0"/>
        <w:keepLines w:val="0"/>
        <w:pageBreakBefore w:val="0"/>
        <w:widowControl w:val="0"/>
        <w:kinsoku/>
        <w:wordWrap/>
        <w:overflowPunct/>
        <w:topLinePunct w:val="0"/>
        <w:autoSpaceDE w:val="0"/>
        <w:autoSpaceDN w:val="0"/>
        <w:bidi w:val="0"/>
        <w:adjustRightInd/>
        <w:snapToGrid/>
        <w:spacing w:line="960" w:lineRule="exact"/>
        <w:textAlignment w:val="auto"/>
        <w:rPr>
          <w:rFonts w:hint="eastAsia"/>
        </w:rPr>
      </w:pPr>
    </w:p>
    <w:p>
      <w:pPr>
        <w:pStyle w:val="19"/>
        <w:keepNext w:val="0"/>
        <w:keepLines w:val="0"/>
        <w:pageBreakBefore w:val="0"/>
        <w:widowControl w:val="0"/>
        <w:kinsoku/>
        <w:wordWrap/>
        <w:overflowPunct/>
        <w:topLinePunct w:val="0"/>
        <w:autoSpaceDE w:val="0"/>
        <w:autoSpaceDN w:val="0"/>
        <w:bidi w:val="0"/>
        <w:adjustRightInd/>
        <w:snapToGrid/>
        <w:spacing w:line="960" w:lineRule="exact"/>
        <w:textAlignment w:val="auto"/>
        <w:rPr>
          <w:rFonts w:hint="eastAsia"/>
        </w:rPr>
      </w:pPr>
    </w:p>
    <w:p>
      <w:pPr>
        <w:pStyle w:val="19"/>
        <w:keepNext w:val="0"/>
        <w:keepLines w:val="0"/>
        <w:pageBreakBefore w:val="0"/>
        <w:widowControl w:val="0"/>
        <w:kinsoku/>
        <w:wordWrap/>
        <w:overflowPunct/>
        <w:topLinePunct w:val="0"/>
        <w:autoSpaceDE w:val="0"/>
        <w:autoSpaceDN w:val="0"/>
        <w:bidi w:val="0"/>
        <w:adjustRightInd/>
        <w:snapToGrid/>
        <w:spacing w:line="960" w:lineRule="exact"/>
        <w:textAlignment w:val="auto"/>
        <w:rPr>
          <w:rFonts w:hint="eastAsia"/>
        </w:rPr>
      </w:pPr>
    </w:p>
    <w:p>
      <w:pPr>
        <w:pStyle w:val="19"/>
        <w:keepNext w:val="0"/>
        <w:keepLines w:val="0"/>
        <w:pageBreakBefore w:val="0"/>
        <w:widowControl w:val="0"/>
        <w:kinsoku/>
        <w:wordWrap/>
        <w:overflowPunct/>
        <w:topLinePunct w:val="0"/>
        <w:autoSpaceDE w:val="0"/>
        <w:autoSpaceDN w:val="0"/>
        <w:bidi w:val="0"/>
        <w:adjustRightInd/>
        <w:snapToGrid/>
        <w:spacing w:line="960" w:lineRule="exact"/>
        <w:textAlignment w:val="auto"/>
        <w:rPr>
          <w:rFonts w:hint="eastAsia"/>
        </w:rPr>
      </w:pPr>
    </w:p>
    <w:p>
      <w:pPr>
        <w:pStyle w:val="19"/>
        <w:keepNext w:val="0"/>
        <w:keepLines w:val="0"/>
        <w:pageBreakBefore w:val="0"/>
        <w:widowControl w:val="0"/>
        <w:kinsoku/>
        <w:wordWrap/>
        <w:overflowPunct/>
        <w:topLinePunct w:val="0"/>
        <w:autoSpaceDE w:val="0"/>
        <w:autoSpaceDN w:val="0"/>
        <w:bidi w:val="0"/>
        <w:adjustRightInd/>
        <w:snapToGrid/>
        <w:spacing w:line="960" w:lineRule="exact"/>
        <w:textAlignment w:val="auto"/>
        <w:rPr>
          <w:rFonts w:hint="eastAsia"/>
        </w:rPr>
      </w:pPr>
    </w:p>
    <w:p>
      <w:pPr>
        <w:pStyle w:val="19"/>
        <w:keepNext w:val="0"/>
        <w:keepLines w:val="0"/>
        <w:pageBreakBefore w:val="0"/>
        <w:widowControl w:val="0"/>
        <w:kinsoku/>
        <w:wordWrap/>
        <w:overflowPunct/>
        <w:topLinePunct w:val="0"/>
        <w:autoSpaceDE w:val="0"/>
        <w:autoSpaceDN w:val="0"/>
        <w:bidi w:val="0"/>
        <w:adjustRightInd/>
        <w:snapToGrid/>
        <w:spacing w:line="960" w:lineRule="exact"/>
        <w:textAlignment w:val="auto"/>
        <w:rPr>
          <w:rFonts w:hint="eastAsia"/>
        </w:rPr>
      </w:pPr>
    </w:p>
    <w:p>
      <w:pPr>
        <w:pStyle w:val="19"/>
        <w:keepNext w:val="0"/>
        <w:keepLines w:val="0"/>
        <w:pageBreakBefore w:val="0"/>
        <w:widowControl w:val="0"/>
        <w:kinsoku/>
        <w:wordWrap/>
        <w:overflowPunct/>
        <w:topLinePunct w:val="0"/>
        <w:autoSpaceDE w:val="0"/>
        <w:autoSpaceDN w:val="0"/>
        <w:bidi w:val="0"/>
        <w:adjustRightInd/>
        <w:snapToGrid/>
        <w:spacing w:line="960" w:lineRule="exact"/>
        <w:textAlignment w:val="auto"/>
        <w:rPr>
          <w:rFonts w:hint="eastAsia"/>
        </w:rPr>
      </w:pPr>
    </w:p>
    <w:p>
      <w:pPr>
        <w:pStyle w:val="19"/>
        <w:keepNext w:val="0"/>
        <w:keepLines w:val="0"/>
        <w:pageBreakBefore w:val="0"/>
        <w:widowControl w:val="0"/>
        <w:kinsoku/>
        <w:wordWrap/>
        <w:overflowPunct/>
        <w:topLinePunct w:val="0"/>
        <w:autoSpaceDE w:val="0"/>
        <w:autoSpaceDN w:val="0"/>
        <w:bidi w:val="0"/>
        <w:adjustRightInd/>
        <w:snapToGrid/>
        <w:spacing w:line="960" w:lineRule="exact"/>
        <w:textAlignment w:val="auto"/>
        <w:rPr>
          <w:rFonts w:hint="eastAsia"/>
        </w:rPr>
      </w:pPr>
    </w:p>
    <w:p>
      <w:pPr>
        <w:pStyle w:val="19"/>
        <w:keepNext w:val="0"/>
        <w:keepLines w:val="0"/>
        <w:pageBreakBefore w:val="0"/>
        <w:widowControl w:val="0"/>
        <w:kinsoku/>
        <w:wordWrap/>
        <w:overflowPunct/>
        <w:topLinePunct w:val="0"/>
        <w:autoSpaceDE w:val="0"/>
        <w:autoSpaceDN w:val="0"/>
        <w:bidi w:val="0"/>
        <w:adjustRightInd/>
        <w:snapToGrid/>
        <w:spacing w:line="960" w:lineRule="exact"/>
        <w:textAlignment w:val="auto"/>
        <w:rPr>
          <w:rFonts w:hint="eastAsia"/>
        </w:rPr>
      </w:pPr>
    </w:p>
    <w:p>
      <w:pPr>
        <w:adjustRightInd w:val="0"/>
        <w:snapToGrid w:val="0"/>
        <w:spacing w:line="580" w:lineRule="exact"/>
        <w:ind w:firstLine="280" w:firstLineChars="100"/>
        <w:rPr>
          <w:rFonts w:hint="eastAsia" w:eastAsia="仿宋_GB2312"/>
          <w:sz w:val="28"/>
          <w:szCs w:val="28"/>
          <w:lang w:val="en-US" w:eastAsia="zh-CN"/>
        </w:rPr>
      </w:pPr>
      <w:bookmarkStart w:id="0" w:name="抄送单位"/>
      <w:bookmarkEnd w:id="0"/>
      <w:r>
        <w:rPr>
          <w:rFonts w:hint="eastAsia" w:ascii="仿宋_GB2312" w:hAnsi="仿宋_GB2312" w:eastAsia="仿宋_GB2312" w:cs="仿宋_GB2312"/>
          <w:sz w:val="28"/>
          <w:szCs w:val="28"/>
        </w:rPr>
        <w:pict>
          <v:line id="_x0000_s1029" o:spid="_x0000_s1029" o:spt="20" style="position:absolute;left:0pt;margin-left:-0.75pt;margin-top:33.45pt;height:0pt;width:445.2pt;z-index:251659264;mso-width-relative:page;mso-height-relative:page;" filled="f" coordsize="21600,21600">
            <v:path arrowok="t"/>
            <v:fill on="f" focussize="0,0"/>
            <v:stroke/>
            <v:imagedata o:title=""/>
            <o:lock v:ext="edit"/>
          </v:line>
        </w:pict>
      </w:r>
      <w:r>
        <w:rPr>
          <w:rFonts w:hint="eastAsia" w:ascii="仿宋_GB2312" w:hAnsi="仿宋_GB2312" w:eastAsia="仿宋_GB2312" w:cs="仿宋_GB2312"/>
          <w:sz w:val="28"/>
          <w:szCs w:val="28"/>
        </w:rPr>
        <w:pict>
          <v:line id="_x0000_s1030" o:spid="_x0000_s1030" o:spt="20" style="position:absolute;left:0pt;margin-left:-0.75pt;margin-top:0pt;height:0pt;width:445.2pt;z-index:251660288;mso-width-relative:page;mso-height-relative:page;" filled="f" coordsize="21600,21600">
            <v:path arrowok="t"/>
            <v:fill on="f" focussize="0,0"/>
            <v:stroke/>
            <v:imagedata o:title=""/>
            <o:lock v:ext="edit"/>
          </v:line>
        </w:pict>
      </w:r>
      <w:r>
        <w:rPr>
          <w:rFonts w:hint="eastAsia" w:ascii="仿宋_GB2312" w:hAnsi="仿宋_GB2312" w:eastAsia="仿宋_GB2312" w:cs="仿宋_GB2312"/>
          <w:sz w:val="28"/>
          <w:szCs w:val="28"/>
        </w:rPr>
        <w:t>遂宁市</w:t>
      </w:r>
      <w:bookmarkStart w:id="1" w:name="日期"/>
      <w:r>
        <w:rPr>
          <w:rFonts w:hint="eastAsia" w:ascii="仿宋_GB2312" w:hAnsi="仿宋_GB2312" w:eastAsia="仿宋_GB2312" w:cs="仿宋_GB2312"/>
          <w:sz w:val="28"/>
          <w:szCs w:val="28"/>
          <w:lang w:val="en-US" w:eastAsia="zh-CN"/>
        </w:rPr>
        <w:t xml:space="preserve">河东新区食品安全委员会       </w:t>
      </w:r>
      <w:r>
        <w:rPr>
          <w:rFonts w:hint="eastAsia" w:ascii="仿宋_GB2312" w:hAnsi="仿宋_GB2312" w:eastAsia="仿宋_GB2312" w:cs="仿宋_GB2312"/>
          <w:sz w:val="28"/>
          <w:szCs w:val="28"/>
        </w:rPr>
        <w:t xml:space="preserve"> </w:t>
      </w:r>
      <w:bookmarkEnd w:id="1"/>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Times New Roman" w:hAnsi="Times New Roman" w:eastAsia="仿宋_GB2312" w:cs="仿宋_GB2312"/>
          <w:sz w:val="28"/>
          <w:szCs w:val="28"/>
        </w:rPr>
        <w:t>20</w:t>
      </w:r>
      <w:r>
        <w:rPr>
          <w:rFonts w:hint="eastAsia" w:ascii="Times New Roman" w:hAnsi="Times New Roman" w:eastAsia="仿宋_GB2312" w:cs="仿宋_GB2312"/>
          <w:sz w:val="28"/>
          <w:szCs w:val="28"/>
          <w:lang w:val="en-US" w:eastAsia="zh-CN"/>
        </w:rPr>
        <w:t>23</w:t>
      </w:r>
      <w:r>
        <w:rPr>
          <w:rFonts w:hint="eastAsia" w:ascii="仿宋_GB2312" w:hAnsi="仿宋_GB2312" w:eastAsia="仿宋_GB2312" w:cs="仿宋_GB2312"/>
          <w:sz w:val="28"/>
          <w:szCs w:val="28"/>
        </w:rPr>
        <w:t>年</w:t>
      </w:r>
      <w:r>
        <w:rPr>
          <w:rFonts w:hint="eastAsia" w:eastAsia="仿宋_GB2312" w:cs="仿宋_GB2312"/>
          <w:sz w:val="28"/>
          <w:szCs w:val="28"/>
          <w:lang w:val="en-US" w:eastAsia="zh-CN"/>
        </w:rPr>
        <w:t>7</w:t>
      </w:r>
      <w:r>
        <w:rPr>
          <w:rFonts w:hint="eastAsia" w:ascii="仿宋_GB2312" w:hAnsi="仿宋_GB2312" w:eastAsia="仿宋_GB2312" w:cs="仿宋_GB2312"/>
          <w:sz w:val="28"/>
          <w:szCs w:val="28"/>
        </w:rPr>
        <w:t>月</w:t>
      </w:r>
      <w:r>
        <w:rPr>
          <w:rFonts w:hint="default" w:ascii="Times New Roman" w:hAnsi="Times New Roman" w:eastAsia="仿宋_GB2312" w:cs="Times New Roman"/>
          <w:sz w:val="28"/>
          <w:szCs w:val="28"/>
          <w:lang w:val="en-US" w:eastAsia="zh-CN"/>
        </w:rPr>
        <w:t>14</w:t>
      </w:r>
      <w:r>
        <w:rPr>
          <w:rFonts w:hint="eastAsia" w:ascii="仿宋_GB2312" w:hAnsi="仿宋_GB2312" w:eastAsia="仿宋_GB2312" w:cs="仿宋_GB2312"/>
          <w:sz w:val="28"/>
          <w:szCs w:val="28"/>
        </w:rPr>
        <w:t>日印</w:t>
      </w:r>
      <w:r>
        <w:rPr>
          <w:rFonts w:hint="eastAsia" w:eastAsia="仿宋_GB2312"/>
          <w:sz w:val="28"/>
          <w:szCs w:val="28"/>
          <w:lang w:val="en-US" w:eastAsia="zh-CN"/>
        </w:rPr>
        <w:t>发</w:t>
      </w:r>
    </w:p>
    <w:sectPr>
      <w:footerReference r:id="rId7" w:type="first"/>
      <w:headerReference r:id="rId3" w:type="default"/>
      <w:footerReference r:id="rId5" w:type="default"/>
      <w:headerReference r:id="rId4" w:type="even"/>
      <w:footerReference r:id="rId6" w:type="even"/>
      <w:pgSz w:w="11907" w:h="16840"/>
      <w:pgMar w:top="2098" w:right="1474" w:bottom="1417" w:left="1587" w:header="851" w:footer="850" w:gutter="0"/>
      <w:pgNumType w:fmt="numberInDash"/>
      <w:cols w:space="72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w:pict>
        <v:shape id="_x0000_s2065" o:spid="_x0000_s2065"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w:pict>
        <v:shape id="_x0000_s2066" o:spid="_x0000_s2066"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xml:space="preserve">- </w:t>
                </w:r>
                <w:r>
                  <w:rPr>
                    <w:rFonts w:hint="eastAsia" w:ascii="Times New Roman" w:hAnsi="Times New Roman" w:eastAsia="宋体" w:cs="宋体"/>
                    <w:sz w:val="28"/>
                    <w:szCs w:val="28"/>
                    <w:lang w:eastAsia="zh-CN"/>
                  </w:rPr>
                  <w:t>1</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67" o:spid="_x0000_s2067"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- 30 -</w:t>
                </w:r>
                <w:r>
                  <w:rPr>
                    <w:rFonts w:hint="eastAsia" w:ascii="宋体" w:hAnsi="宋体" w:eastAsia="宋体" w:cs="宋体"/>
                    <w:sz w:val="28"/>
                    <w:szCs w:val="28"/>
                    <w:lang w:eastAsia="zh-CN"/>
                  </w:rPr>
                  <w:fldChar w:fldCharType="end"/>
                </w:r>
              </w:p>
            </w:txbxContent>
          </v:textbox>
        </v:shape>
      </w:pict>
    </w:r>
    <w:r>
      <w:pict>
        <v:rect id="_x0000_s2051" o:spid="_x0000_s2051" o:spt="1" style="position:absolute;left:0pt;margin-left:375.5pt;margin-top:-23.05pt;height:18.15pt;width:51.05pt;mso-position-horizontal-relative:margin;mso-wrap-distance-bottom:0pt;mso-wrap-distance-left:0pt;mso-wrap-distance-right:0pt;mso-wrap-distance-top:0pt;mso-wrap-style:none;z-index:251659264;mso-width-relative:page;mso-height-relative:page;" filled="f" stroked="f" coordsize="21600,21600">
          <v:path/>
          <v:fill on="f" focussize="0,0"/>
          <v:stroke on="f"/>
          <v:imagedata o:title=""/>
          <o:lock v:ext="edit"/>
          <v:textbox inset="1pt,0mm,1pt,0mm" style="mso-fit-shape-to-text:t;">
            <w:txbxContent>
              <w:p>
                <w:pPr>
                  <w:pStyle w:val="7"/>
                  <w:rPr>
                    <w:rFonts w:hint="eastAsia" w:ascii="宋体"/>
                    <w:sz w:val="28"/>
                  </w:rPr>
                </w:pPr>
              </w:p>
            </w:txbxContent>
          </v:textbox>
          <w10:wrap type="square"/>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8"/>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YyZmZjNWYyMzE1MGMwMmJlYTFkOTI2MzE0YWQ2MzkifQ=="/>
    <w:docVar w:name="KGWebUrl" w:val="http://10.8.200.17:8899/seeyon/officeservlet"/>
  </w:docVars>
  <w:rsids>
    <w:rsidRoot w:val="00AD6922"/>
    <w:rsid w:val="00004E37"/>
    <w:rsid w:val="000133C3"/>
    <w:rsid w:val="0001757D"/>
    <w:rsid w:val="0002234C"/>
    <w:rsid w:val="00023238"/>
    <w:rsid w:val="00026615"/>
    <w:rsid w:val="000328CF"/>
    <w:rsid w:val="0003609A"/>
    <w:rsid w:val="00036933"/>
    <w:rsid w:val="0004440E"/>
    <w:rsid w:val="000457AD"/>
    <w:rsid w:val="000475AB"/>
    <w:rsid w:val="00050007"/>
    <w:rsid w:val="00056C8B"/>
    <w:rsid w:val="00060EFD"/>
    <w:rsid w:val="000652C2"/>
    <w:rsid w:val="00071301"/>
    <w:rsid w:val="00071717"/>
    <w:rsid w:val="000720BE"/>
    <w:rsid w:val="00074535"/>
    <w:rsid w:val="00080D39"/>
    <w:rsid w:val="00080F26"/>
    <w:rsid w:val="000869BE"/>
    <w:rsid w:val="00090012"/>
    <w:rsid w:val="000910E1"/>
    <w:rsid w:val="000A3FDB"/>
    <w:rsid w:val="000A6340"/>
    <w:rsid w:val="000B08ED"/>
    <w:rsid w:val="000C1EED"/>
    <w:rsid w:val="000C6807"/>
    <w:rsid w:val="000C76D9"/>
    <w:rsid w:val="000D6121"/>
    <w:rsid w:val="000D64F0"/>
    <w:rsid w:val="000E17DD"/>
    <w:rsid w:val="000E3EBE"/>
    <w:rsid w:val="000E4131"/>
    <w:rsid w:val="000E64DF"/>
    <w:rsid w:val="000E6F20"/>
    <w:rsid w:val="000F1589"/>
    <w:rsid w:val="000F2542"/>
    <w:rsid w:val="000F3453"/>
    <w:rsid w:val="00102A5F"/>
    <w:rsid w:val="00122764"/>
    <w:rsid w:val="001254B4"/>
    <w:rsid w:val="00125FA3"/>
    <w:rsid w:val="001358D9"/>
    <w:rsid w:val="00142580"/>
    <w:rsid w:val="00146984"/>
    <w:rsid w:val="001531A2"/>
    <w:rsid w:val="001570E5"/>
    <w:rsid w:val="001572D4"/>
    <w:rsid w:val="00161AD8"/>
    <w:rsid w:val="00167BFB"/>
    <w:rsid w:val="001774E9"/>
    <w:rsid w:val="00180F65"/>
    <w:rsid w:val="00181F76"/>
    <w:rsid w:val="00187AD3"/>
    <w:rsid w:val="00193691"/>
    <w:rsid w:val="00194F9E"/>
    <w:rsid w:val="001A04AC"/>
    <w:rsid w:val="001A4F75"/>
    <w:rsid w:val="001B63E0"/>
    <w:rsid w:val="001B65F4"/>
    <w:rsid w:val="001C3408"/>
    <w:rsid w:val="001C4E41"/>
    <w:rsid w:val="001C65EB"/>
    <w:rsid w:val="001D13AC"/>
    <w:rsid w:val="001D28A4"/>
    <w:rsid w:val="001D2B11"/>
    <w:rsid w:val="001D3905"/>
    <w:rsid w:val="001D3BE7"/>
    <w:rsid w:val="001D5449"/>
    <w:rsid w:val="001D5C8D"/>
    <w:rsid w:val="001E3A9A"/>
    <w:rsid w:val="001F142D"/>
    <w:rsid w:val="00204D58"/>
    <w:rsid w:val="002203D3"/>
    <w:rsid w:val="0022097B"/>
    <w:rsid w:val="0022381A"/>
    <w:rsid w:val="00232455"/>
    <w:rsid w:val="0023562F"/>
    <w:rsid w:val="00237A56"/>
    <w:rsid w:val="00244695"/>
    <w:rsid w:val="00251E8F"/>
    <w:rsid w:val="00251EE4"/>
    <w:rsid w:val="00252E08"/>
    <w:rsid w:val="0025304B"/>
    <w:rsid w:val="00256B82"/>
    <w:rsid w:val="0026194C"/>
    <w:rsid w:val="00290D1E"/>
    <w:rsid w:val="00297B32"/>
    <w:rsid w:val="00297EED"/>
    <w:rsid w:val="002A1A42"/>
    <w:rsid w:val="002A4877"/>
    <w:rsid w:val="002B2A34"/>
    <w:rsid w:val="002B552F"/>
    <w:rsid w:val="002B6695"/>
    <w:rsid w:val="002C2A12"/>
    <w:rsid w:val="002C479A"/>
    <w:rsid w:val="002D0BFB"/>
    <w:rsid w:val="002D0E86"/>
    <w:rsid w:val="002E43AF"/>
    <w:rsid w:val="002F143F"/>
    <w:rsid w:val="00307390"/>
    <w:rsid w:val="003111CA"/>
    <w:rsid w:val="00315CDD"/>
    <w:rsid w:val="00320D0E"/>
    <w:rsid w:val="00321680"/>
    <w:rsid w:val="00321E71"/>
    <w:rsid w:val="003265B1"/>
    <w:rsid w:val="003312AA"/>
    <w:rsid w:val="0033337E"/>
    <w:rsid w:val="0033612E"/>
    <w:rsid w:val="003442EA"/>
    <w:rsid w:val="003523DE"/>
    <w:rsid w:val="00356146"/>
    <w:rsid w:val="0037527D"/>
    <w:rsid w:val="00375805"/>
    <w:rsid w:val="00376518"/>
    <w:rsid w:val="00382894"/>
    <w:rsid w:val="003A3F3E"/>
    <w:rsid w:val="003A6611"/>
    <w:rsid w:val="003C1AED"/>
    <w:rsid w:val="003C4788"/>
    <w:rsid w:val="003C4DBD"/>
    <w:rsid w:val="003C7226"/>
    <w:rsid w:val="003C75DE"/>
    <w:rsid w:val="003D2D8B"/>
    <w:rsid w:val="003D6496"/>
    <w:rsid w:val="003E1696"/>
    <w:rsid w:val="003E291F"/>
    <w:rsid w:val="003E2B6E"/>
    <w:rsid w:val="003E74C7"/>
    <w:rsid w:val="003F41D8"/>
    <w:rsid w:val="003F55DA"/>
    <w:rsid w:val="004014AB"/>
    <w:rsid w:val="0040240D"/>
    <w:rsid w:val="0040301F"/>
    <w:rsid w:val="0041108F"/>
    <w:rsid w:val="004117D2"/>
    <w:rsid w:val="00416336"/>
    <w:rsid w:val="004167A1"/>
    <w:rsid w:val="00422AE9"/>
    <w:rsid w:val="00425CF7"/>
    <w:rsid w:val="004273A1"/>
    <w:rsid w:val="00431D3A"/>
    <w:rsid w:val="00434C4D"/>
    <w:rsid w:val="004572C7"/>
    <w:rsid w:val="00462970"/>
    <w:rsid w:val="00466E05"/>
    <w:rsid w:val="0047021C"/>
    <w:rsid w:val="00471EFC"/>
    <w:rsid w:val="00473F04"/>
    <w:rsid w:val="00474C9A"/>
    <w:rsid w:val="004800C9"/>
    <w:rsid w:val="00481857"/>
    <w:rsid w:val="0048334B"/>
    <w:rsid w:val="00485680"/>
    <w:rsid w:val="00485758"/>
    <w:rsid w:val="00490633"/>
    <w:rsid w:val="00493394"/>
    <w:rsid w:val="0049487B"/>
    <w:rsid w:val="0049642A"/>
    <w:rsid w:val="004A27C5"/>
    <w:rsid w:val="004A784F"/>
    <w:rsid w:val="004B2740"/>
    <w:rsid w:val="004B3D75"/>
    <w:rsid w:val="004B7E9E"/>
    <w:rsid w:val="004C6B67"/>
    <w:rsid w:val="004C6C01"/>
    <w:rsid w:val="004D0BB5"/>
    <w:rsid w:val="004D17FB"/>
    <w:rsid w:val="004D2A53"/>
    <w:rsid w:val="004D6A0B"/>
    <w:rsid w:val="004E6577"/>
    <w:rsid w:val="004F04C9"/>
    <w:rsid w:val="004F700C"/>
    <w:rsid w:val="00507215"/>
    <w:rsid w:val="00507319"/>
    <w:rsid w:val="005238EC"/>
    <w:rsid w:val="005249F3"/>
    <w:rsid w:val="00527716"/>
    <w:rsid w:val="00530B91"/>
    <w:rsid w:val="0054019F"/>
    <w:rsid w:val="005413BF"/>
    <w:rsid w:val="005413E2"/>
    <w:rsid w:val="0054169C"/>
    <w:rsid w:val="00544A2D"/>
    <w:rsid w:val="00555220"/>
    <w:rsid w:val="005600EF"/>
    <w:rsid w:val="00562C50"/>
    <w:rsid w:val="00562F09"/>
    <w:rsid w:val="00563BF4"/>
    <w:rsid w:val="005669B9"/>
    <w:rsid w:val="0056797F"/>
    <w:rsid w:val="0057017A"/>
    <w:rsid w:val="00571E4C"/>
    <w:rsid w:val="00584C00"/>
    <w:rsid w:val="00591ED9"/>
    <w:rsid w:val="00595BD5"/>
    <w:rsid w:val="0059608A"/>
    <w:rsid w:val="005A1D7F"/>
    <w:rsid w:val="005A68D9"/>
    <w:rsid w:val="005B07C2"/>
    <w:rsid w:val="005B3755"/>
    <w:rsid w:val="005C741C"/>
    <w:rsid w:val="005D613C"/>
    <w:rsid w:val="005D795F"/>
    <w:rsid w:val="005E37B5"/>
    <w:rsid w:val="005E514A"/>
    <w:rsid w:val="005E6DEE"/>
    <w:rsid w:val="005F179A"/>
    <w:rsid w:val="005F6165"/>
    <w:rsid w:val="0060559A"/>
    <w:rsid w:val="006210CF"/>
    <w:rsid w:val="006252F6"/>
    <w:rsid w:val="006465B0"/>
    <w:rsid w:val="00650B64"/>
    <w:rsid w:val="00651906"/>
    <w:rsid w:val="00660B1F"/>
    <w:rsid w:val="006626FA"/>
    <w:rsid w:val="006631A2"/>
    <w:rsid w:val="00671C76"/>
    <w:rsid w:val="0067201B"/>
    <w:rsid w:val="00676B0D"/>
    <w:rsid w:val="006944F8"/>
    <w:rsid w:val="006A029E"/>
    <w:rsid w:val="006A4A21"/>
    <w:rsid w:val="006A58BC"/>
    <w:rsid w:val="006A710E"/>
    <w:rsid w:val="006B7F27"/>
    <w:rsid w:val="006C49B3"/>
    <w:rsid w:val="007009B6"/>
    <w:rsid w:val="00700C18"/>
    <w:rsid w:val="00723BE4"/>
    <w:rsid w:val="00724AB5"/>
    <w:rsid w:val="00737E6D"/>
    <w:rsid w:val="00743E82"/>
    <w:rsid w:val="00744345"/>
    <w:rsid w:val="0074482E"/>
    <w:rsid w:val="00746C27"/>
    <w:rsid w:val="0075696E"/>
    <w:rsid w:val="007761A4"/>
    <w:rsid w:val="007819CB"/>
    <w:rsid w:val="00782350"/>
    <w:rsid w:val="00785AEC"/>
    <w:rsid w:val="00795C74"/>
    <w:rsid w:val="007A7F3C"/>
    <w:rsid w:val="007B0C27"/>
    <w:rsid w:val="007B18D8"/>
    <w:rsid w:val="007B3BCB"/>
    <w:rsid w:val="007B6112"/>
    <w:rsid w:val="007B768D"/>
    <w:rsid w:val="007C4B4C"/>
    <w:rsid w:val="007C55ED"/>
    <w:rsid w:val="007C7E3F"/>
    <w:rsid w:val="007D3743"/>
    <w:rsid w:val="007D4699"/>
    <w:rsid w:val="007D4BD6"/>
    <w:rsid w:val="007D6A53"/>
    <w:rsid w:val="007D6B0C"/>
    <w:rsid w:val="007D7896"/>
    <w:rsid w:val="007E7A94"/>
    <w:rsid w:val="007F05CE"/>
    <w:rsid w:val="007F7B00"/>
    <w:rsid w:val="00802F0A"/>
    <w:rsid w:val="008035FA"/>
    <w:rsid w:val="008049B0"/>
    <w:rsid w:val="00817C8B"/>
    <w:rsid w:val="00820143"/>
    <w:rsid w:val="00821223"/>
    <w:rsid w:val="00824590"/>
    <w:rsid w:val="008333B5"/>
    <w:rsid w:val="008361C0"/>
    <w:rsid w:val="00837068"/>
    <w:rsid w:val="008419DB"/>
    <w:rsid w:val="008467E5"/>
    <w:rsid w:val="00852B32"/>
    <w:rsid w:val="00855E2F"/>
    <w:rsid w:val="008601D0"/>
    <w:rsid w:val="0086196F"/>
    <w:rsid w:val="00862A29"/>
    <w:rsid w:val="008631F2"/>
    <w:rsid w:val="00864CCD"/>
    <w:rsid w:val="00867DE0"/>
    <w:rsid w:val="00886797"/>
    <w:rsid w:val="008918DE"/>
    <w:rsid w:val="00893C26"/>
    <w:rsid w:val="00895171"/>
    <w:rsid w:val="0089536C"/>
    <w:rsid w:val="0089766D"/>
    <w:rsid w:val="008A0839"/>
    <w:rsid w:val="008A338D"/>
    <w:rsid w:val="008A3E32"/>
    <w:rsid w:val="008B1D3B"/>
    <w:rsid w:val="008B43AC"/>
    <w:rsid w:val="008C705A"/>
    <w:rsid w:val="008D017C"/>
    <w:rsid w:val="008D062A"/>
    <w:rsid w:val="008D563F"/>
    <w:rsid w:val="008D7540"/>
    <w:rsid w:val="008E09E9"/>
    <w:rsid w:val="008E67F0"/>
    <w:rsid w:val="008E7A4A"/>
    <w:rsid w:val="008F02C4"/>
    <w:rsid w:val="008F2F4E"/>
    <w:rsid w:val="008F6EB2"/>
    <w:rsid w:val="00900DA3"/>
    <w:rsid w:val="00910201"/>
    <w:rsid w:val="0091196E"/>
    <w:rsid w:val="00912711"/>
    <w:rsid w:val="00912DDF"/>
    <w:rsid w:val="00915781"/>
    <w:rsid w:val="00917B4F"/>
    <w:rsid w:val="00930A29"/>
    <w:rsid w:val="00933FFB"/>
    <w:rsid w:val="00940E7A"/>
    <w:rsid w:val="0094143F"/>
    <w:rsid w:val="00941B74"/>
    <w:rsid w:val="0094249E"/>
    <w:rsid w:val="00942CBF"/>
    <w:rsid w:val="00943887"/>
    <w:rsid w:val="00951A43"/>
    <w:rsid w:val="00955B94"/>
    <w:rsid w:val="009571F8"/>
    <w:rsid w:val="009574FD"/>
    <w:rsid w:val="00980BBA"/>
    <w:rsid w:val="0099332B"/>
    <w:rsid w:val="009A0D0C"/>
    <w:rsid w:val="009A129F"/>
    <w:rsid w:val="009A3E9C"/>
    <w:rsid w:val="009A61B1"/>
    <w:rsid w:val="009B266C"/>
    <w:rsid w:val="009B35A2"/>
    <w:rsid w:val="009B5624"/>
    <w:rsid w:val="009C17C7"/>
    <w:rsid w:val="009C3A6F"/>
    <w:rsid w:val="009C5D44"/>
    <w:rsid w:val="009D29C4"/>
    <w:rsid w:val="009D6D5F"/>
    <w:rsid w:val="009E51C9"/>
    <w:rsid w:val="009E7BE2"/>
    <w:rsid w:val="009F120F"/>
    <w:rsid w:val="009F4C56"/>
    <w:rsid w:val="009F62B4"/>
    <w:rsid w:val="00A00BFD"/>
    <w:rsid w:val="00A03F56"/>
    <w:rsid w:val="00A05CE8"/>
    <w:rsid w:val="00A06DBA"/>
    <w:rsid w:val="00A23F03"/>
    <w:rsid w:val="00A27691"/>
    <w:rsid w:val="00A36C61"/>
    <w:rsid w:val="00A37664"/>
    <w:rsid w:val="00A4140E"/>
    <w:rsid w:val="00A41607"/>
    <w:rsid w:val="00A442C1"/>
    <w:rsid w:val="00A46187"/>
    <w:rsid w:val="00A5696E"/>
    <w:rsid w:val="00A651F4"/>
    <w:rsid w:val="00A801B0"/>
    <w:rsid w:val="00A9314A"/>
    <w:rsid w:val="00A93D94"/>
    <w:rsid w:val="00A94685"/>
    <w:rsid w:val="00A94796"/>
    <w:rsid w:val="00A97519"/>
    <w:rsid w:val="00A9753B"/>
    <w:rsid w:val="00AA0244"/>
    <w:rsid w:val="00AA2BB3"/>
    <w:rsid w:val="00AA74C3"/>
    <w:rsid w:val="00AC2BCC"/>
    <w:rsid w:val="00AC529E"/>
    <w:rsid w:val="00AD1039"/>
    <w:rsid w:val="00AD2C8D"/>
    <w:rsid w:val="00AE3AA4"/>
    <w:rsid w:val="00AF26FA"/>
    <w:rsid w:val="00AF464E"/>
    <w:rsid w:val="00AF6D0B"/>
    <w:rsid w:val="00B0651E"/>
    <w:rsid w:val="00B11F1E"/>
    <w:rsid w:val="00B2093C"/>
    <w:rsid w:val="00B221E9"/>
    <w:rsid w:val="00B227E1"/>
    <w:rsid w:val="00B3098B"/>
    <w:rsid w:val="00B326B2"/>
    <w:rsid w:val="00B42C28"/>
    <w:rsid w:val="00B464C4"/>
    <w:rsid w:val="00B52FA4"/>
    <w:rsid w:val="00B5529E"/>
    <w:rsid w:val="00B55902"/>
    <w:rsid w:val="00B601DB"/>
    <w:rsid w:val="00B62C58"/>
    <w:rsid w:val="00B63CD4"/>
    <w:rsid w:val="00B65F95"/>
    <w:rsid w:val="00B6712C"/>
    <w:rsid w:val="00B7074E"/>
    <w:rsid w:val="00B728FB"/>
    <w:rsid w:val="00B83166"/>
    <w:rsid w:val="00B97BB4"/>
    <w:rsid w:val="00B97EBC"/>
    <w:rsid w:val="00BB04A7"/>
    <w:rsid w:val="00BB3799"/>
    <w:rsid w:val="00BB542A"/>
    <w:rsid w:val="00BB7486"/>
    <w:rsid w:val="00BC1B1E"/>
    <w:rsid w:val="00BC72CB"/>
    <w:rsid w:val="00BE5DA4"/>
    <w:rsid w:val="00BF0803"/>
    <w:rsid w:val="00BF3966"/>
    <w:rsid w:val="00BF554F"/>
    <w:rsid w:val="00BF56D2"/>
    <w:rsid w:val="00C03848"/>
    <w:rsid w:val="00C046E3"/>
    <w:rsid w:val="00C0594F"/>
    <w:rsid w:val="00C07384"/>
    <w:rsid w:val="00C1676F"/>
    <w:rsid w:val="00C16C07"/>
    <w:rsid w:val="00C20718"/>
    <w:rsid w:val="00C2241A"/>
    <w:rsid w:val="00C27536"/>
    <w:rsid w:val="00C31987"/>
    <w:rsid w:val="00C32660"/>
    <w:rsid w:val="00C32A30"/>
    <w:rsid w:val="00C3314C"/>
    <w:rsid w:val="00C33F1B"/>
    <w:rsid w:val="00C354AF"/>
    <w:rsid w:val="00C36BF9"/>
    <w:rsid w:val="00C40052"/>
    <w:rsid w:val="00C47AF9"/>
    <w:rsid w:val="00C51534"/>
    <w:rsid w:val="00C55749"/>
    <w:rsid w:val="00C577CB"/>
    <w:rsid w:val="00C61149"/>
    <w:rsid w:val="00C61945"/>
    <w:rsid w:val="00C6488A"/>
    <w:rsid w:val="00C66E61"/>
    <w:rsid w:val="00C77776"/>
    <w:rsid w:val="00C804E1"/>
    <w:rsid w:val="00C839D1"/>
    <w:rsid w:val="00C85135"/>
    <w:rsid w:val="00C86A74"/>
    <w:rsid w:val="00C91743"/>
    <w:rsid w:val="00C94D3D"/>
    <w:rsid w:val="00CA0855"/>
    <w:rsid w:val="00CA0DFF"/>
    <w:rsid w:val="00CA29FC"/>
    <w:rsid w:val="00CA4F4D"/>
    <w:rsid w:val="00CA6B93"/>
    <w:rsid w:val="00CB0EEE"/>
    <w:rsid w:val="00CB48DC"/>
    <w:rsid w:val="00CB6595"/>
    <w:rsid w:val="00CC16BD"/>
    <w:rsid w:val="00CC2E17"/>
    <w:rsid w:val="00CC544D"/>
    <w:rsid w:val="00CD3940"/>
    <w:rsid w:val="00CD5353"/>
    <w:rsid w:val="00CE16F8"/>
    <w:rsid w:val="00CF4A9E"/>
    <w:rsid w:val="00CF7C78"/>
    <w:rsid w:val="00D00182"/>
    <w:rsid w:val="00D02795"/>
    <w:rsid w:val="00D058D3"/>
    <w:rsid w:val="00D20A92"/>
    <w:rsid w:val="00D34C64"/>
    <w:rsid w:val="00D3699A"/>
    <w:rsid w:val="00D37A9C"/>
    <w:rsid w:val="00D415E0"/>
    <w:rsid w:val="00D44D67"/>
    <w:rsid w:val="00D46C81"/>
    <w:rsid w:val="00D50F65"/>
    <w:rsid w:val="00D53ACB"/>
    <w:rsid w:val="00D56522"/>
    <w:rsid w:val="00D64101"/>
    <w:rsid w:val="00D66015"/>
    <w:rsid w:val="00D67DB7"/>
    <w:rsid w:val="00D75322"/>
    <w:rsid w:val="00D763DF"/>
    <w:rsid w:val="00D82396"/>
    <w:rsid w:val="00D825F8"/>
    <w:rsid w:val="00D908BB"/>
    <w:rsid w:val="00D9250E"/>
    <w:rsid w:val="00D94A8A"/>
    <w:rsid w:val="00DA0BED"/>
    <w:rsid w:val="00DA12A5"/>
    <w:rsid w:val="00DA3BA3"/>
    <w:rsid w:val="00DA4C0C"/>
    <w:rsid w:val="00DB02A7"/>
    <w:rsid w:val="00DB04ED"/>
    <w:rsid w:val="00DB2C07"/>
    <w:rsid w:val="00DB5EBF"/>
    <w:rsid w:val="00DC63EC"/>
    <w:rsid w:val="00DD7A97"/>
    <w:rsid w:val="00DE0BFC"/>
    <w:rsid w:val="00DE37FA"/>
    <w:rsid w:val="00DF17B9"/>
    <w:rsid w:val="00DF2F0F"/>
    <w:rsid w:val="00DF7A66"/>
    <w:rsid w:val="00E02940"/>
    <w:rsid w:val="00E04EF5"/>
    <w:rsid w:val="00E059C1"/>
    <w:rsid w:val="00E06190"/>
    <w:rsid w:val="00E07D85"/>
    <w:rsid w:val="00E324F3"/>
    <w:rsid w:val="00E353DA"/>
    <w:rsid w:val="00E37C62"/>
    <w:rsid w:val="00E40655"/>
    <w:rsid w:val="00E47163"/>
    <w:rsid w:val="00E50940"/>
    <w:rsid w:val="00E60686"/>
    <w:rsid w:val="00E65E31"/>
    <w:rsid w:val="00E67A35"/>
    <w:rsid w:val="00E72987"/>
    <w:rsid w:val="00E72CE6"/>
    <w:rsid w:val="00E75941"/>
    <w:rsid w:val="00E82E62"/>
    <w:rsid w:val="00E85939"/>
    <w:rsid w:val="00E869A0"/>
    <w:rsid w:val="00E91C5C"/>
    <w:rsid w:val="00E91C8D"/>
    <w:rsid w:val="00E92A45"/>
    <w:rsid w:val="00E92B27"/>
    <w:rsid w:val="00E967BD"/>
    <w:rsid w:val="00EA18BA"/>
    <w:rsid w:val="00EB00CC"/>
    <w:rsid w:val="00EB2FD7"/>
    <w:rsid w:val="00EC3B4D"/>
    <w:rsid w:val="00EC3EDE"/>
    <w:rsid w:val="00EC7A64"/>
    <w:rsid w:val="00ED13A1"/>
    <w:rsid w:val="00EE33C5"/>
    <w:rsid w:val="00F13ED8"/>
    <w:rsid w:val="00F159EA"/>
    <w:rsid w:val="00F20ABB"/>
    <w:rsid w:val="00F319F8"/>
    <w:rsid w:val="00F32223"/>
    <w:rsid w:val="00F34C87"/>
    <w:rsid w:val="00F427DA"/>
    <w:rsid w:val="00F4748C"/>
    <w:rsid w:val="00F50002"/>
    <w:rsid w:val="00F56B04"/>
    <w:rsid w:val="00F57295"/>
    <w:rsid w:val="00F57F7A"/>
    <w:rsid w:val="00F61E93"/>
    <w:rsid w:val="00F758B8"/>
    <w:rsid w:val="00F8068B"/>
    <w:rsid w:val="00F808C8"/>
    <w:rsid w:val="00F91D90"/>
    <w:rsid w:val="00F935EF"/>
    <w:rsid w:val="00F95D6D"/>
    <w:rsid w:val="00F95E58"/>
    <w:rsid w:val="00F967DA"/>
    <w:rsid w:val="00FA2D90"/>
    <w:rsid w:val="00FA3E4C"/>
    <w:rsid w:val="00FA7024"/>
    <w:rsid w:val="00FB0468"/>
    <w:rsid w:val="00FB054E"/>
    <w:rsid w:val="00FB0747"/>
    <w:rsid w:val="00FB0A23"/>
    <w:rsid w:val="00FB4946"/>
    <w:rsid w:val="00FC27AB"/>
    <w:rsid w:val="00FC4067"/>
    <w:rsid w:val="00FD588A"/>
    <w:rsid w:val="00FE3164"/>
    <w:rsid w:val="00FE6A55"/>
    <w:rsid w:val="01E86D64"/>
    <w:rsid w:val="02FB7B7D"/>
    <w:rsid w:val="04C64E56"/>
    <w:rsid w:val="04FC4F45"/>
    <w:rsid w:val="05CE74A3"/>
    <w:rsid w:val="05EF325A"/>
    <w:rsid w:val="05F156A8"/>
    <w:rsid w:val="061838CC"/>
    <w:rsid w:val="06DF6059"/>
    <w:rsid w:val="06EF6B32"/>
    <w:rsid w:val="07286BAE"/>
    <w:rsid w:val="082F0A74"/>
    <w:rsid w:val="09732956"/>
    <w:rsid w:val="09C93C62"/>
    <w:rsid w:val="0C961979"/>
    <w:rsid w:val="0D894C73"/>
    <w:rsid w:val="0DB26C2D"/>
    <w:rsid w:val="0E1F446A"/>
    <w:rsid w:val="0E281594"/>
    <w:rsid w:val="0EAE4508"/>
    <w:rsid w:val="0EC41528"/>
    <w:rsid w:val="0EDF4B19"/>
    <w:rsid w:val="0F077DEE"/>
    <w:rsid w:val="10144DF9"/>
    <w:rsid w:val="10724BA3"/>
    <w:rsid w:val="112333AC"/>
    <w:rsid w:val="11D000B2"/>
    <w:rsid w:val="11D55C79"/>
    <w:rsid w:val="13CA63B2"/>
    <w:rsid w:val="1528002E"/>
    <w:rsid w:val="1540657A"/>
    <w:rsid w:val="167D52E5"/>
    <w:rsid w:val="16AA157B"/>
    <w:rsid w:val="17202FDB"/>
    <w:rsid w:val="1781339B"/>
    <w:rsid w:val="18006502"/>
    <w:rsid w:val="190D13C8"/>
    <w:rsid w:val="190D7B87"/>
    <w:rsid w:val="1931673C"/>
    <w:rsid w:val="1A001D29"/>
    <w:rsid w:val="1A417F4D"/>
    <w:rsid w:val="1A46731D"/>
    <w:rsid w:val="1A5A73C3"/>
    <w:rsid w:val="1B382B7B"/>
    <w:rsid w:val="1B634BE0"/>
    <w:rsid w:val="1CEC2C80"/>
    <w:rsid w:val="1D4F5CF4"/>
    <w:rsid w:val="1D5F79B3"/>
    <w:rsid w:val="1D662FBE"/>
    <w:rsid w:val="1E1B0015"/>
    <w:rsid w:val="1E433FD0"/>
    <w:rsid w:val="20482E27"/>
    <w:rsid w:val="20792163"/>
    <w:rsid w:val="20DA5CD1"/>
    <w:rsid w:val="215245E2"/>
    <w:rsid w:val="22195B5C"/>
    <w:rsid w:val="22A113DA"/>
    <w:rsid w:val="23784145"/>
    <w:rsid w:val="25551FFC"/>
    <w:rsid w:val="25AF285D"/>
    <w:rsid w:val="26651E90"/>
    <w:rsid w:val="26EE5FA0"/>
    <w:rsid w:val="280B44BC"/>
    <w:rsid w:val="28C6019F"/>
    <w:rsid w:val="29C279C5"/>
    <w:rsid w:val="29D25F58"/>
    <w:rsid w:val="29F563D0"/>
    <w:rsid w:val="2B8C14A3"/>
    <w:rsid w:val="2DC11E74"/>
    <w:rsid w:val="2DE92D04"/>
    <w:rsid w:val="2E2634BF"/>
    <w:rsid w:val="2E9C084B"/>
    <w:rsid w:val="2EB66FAB"/>
    <w:rsid w:val="2EE44E0D"/>
    <w:rsid w:val="2FAD543E"/>
    <w:rsid w:val="2FB20C1D"/>
    <w:rsid w:val="304E5FD7"/>
    <w:rsid w:val="318A412B"/>
    <w:rsid w:val="3244039F"/>
    <w:rsid w:val="32F65DB5"/>
    <w:rsid w:val="32F845D3"/>
    <w:rsid w:val="335437B6"/>
    <w:rsid w:val="34413F52"/>
    <w:rsid w:val="34601AB7"/>
    <w:rsid w:val="353A1335"/>
    <w:rsid w:val="35A238B5"/>
    <w:rsid w:val="36083392"/>
    <w:rsid w:val="37C33374"/>
    <w:rsid w:val="39382560"/>
    <w:rsid w:val="3A390ABF"/>
    <w:rsid w:val="3B206796"/>
    <w:rsid w:val="3BC64AB8"/>
    <w:rsid w:val="3DE56E32"/>
    <w:rsid w:val="3DEB7E07"/>
    <w:rsid w:val="3DFF3A68"/>
    <w:rsid w:val="3E985498"/>
    <w:rsid w:val="3EDE74FB"/>
    <w:rsid w:val="3F657DD5"/>
    <w:rsid w:val="3F7F006E"/>
    <w:rsid w:val="3FE61E02"/>
    <w:rsid w:val="410E56B7"/>
    <w:rsid w:val="42301385"/>
    <w:rsid w:val="43C73BD6"/>
    <w:rsid w:val="43CA3FE7"/>
    <w:rsid w:val="44051D72"/>
    <w:rsid w:val="45AF78B4"/>
    <w:rsid w:val="46442342"/>
    <w:rsid w:val="46A53017"/>
    <w:rsid w:val="475F4102"/>
    <w:rsid w:val="48315039"/>
    <w:rsid w:val="485F4FFC"/>
    <w:rsid w:val="48E94D6D"/>
    <w:rsid w:val="49E0217A"/>
    <w:rsid w:val="4A3D0250"/>
    <w:rsid w:val="4B446B91"/>
    <w:rsid w:val="4BBA1F43"/>
    <w:rsid w:val="4CB718FF"/>
    <w:rsid w:val="4CEB23C0"/>
    <w:rsid w:val="4D160A65"/>
    <w:rsid w:val="4D591BAB"/>
    <w:rsid w:val="4EF0750D"/>
    <w:rsid w:val="4F610BB9"/>
    <w:rsid w:val="504E7FAA"/>
    <w:rsid w:val="508E60B1"/>
    <w:rsid w:val="50FF0A7A"/>
    <w:rsid w:val="51364AFD"/>
    <w:rsid w:val="51451E0B"/>
    <w:rsid w:val="51F310BE"/>
    <w:rsid w:val="52125A96"/>
    <w:rsid w:val="52544460"/>
    <w:rsid w:val="53100594"/>
    <w:rsid w:val="55893A33"/>
    <w:rsid w:val="56014A00"/>
    <w:rsid w:val="57C6170B"/>
    <w:rsid w:val="59066EBB"/>
    <w:rsid w:val="5A026F22"/>
    <w:rsid w:val="5A8342E5"/>
    <w:rsid w:val="5B502CFE"/>
    <w:rsid w:val="5BBE1DCA"/>
    <w:rsid w:val="5C15053E"/>
    <w:rsid w:val="5C1D4E4C"/>
    <w:rsid w:val="5C9C2191"/>
    <w:rsid w:val="5D827560"/>
    <w:rsid w:val="5F011E9E"/>
    <w:rsid w:val="5FB639AA"/>
    <w:rsid w:val="5FDBF064"/>
    <w:rsid w:val="5FE701EC"/>
    <w:rsid w:val="600E53B0"/>
    <w:rsid w:val="60DD530B"/>
    <w:rsid w:val="61171AD8"/>
    <w:rsid w:val="61181EE3"/>
    <w:rsid w:val="63356522"/>
    <w:rsid w:val="63376336"/>
    <w:rsid w:val="6391064B"/>
    <w:rsid w:val="63EA6487"/>
    <w:rsid w:val="64073CB6"/>
    <w:rsid w:val="643F16C0"/>
    <w:rsid w:val="644E5D01"/>
    <w:rsid w:val="645A5F57"/>
    <w:rsid w:val="65506446"/>
    <w:rsid w:val="65DC2A30"/>
    <w:rsid w:val="65F1616B"/>
    <w:rsid w:val="6605496F"/>
    <w:rsid w:val="660933E6"/>
    <w:rsid w:val="678D5B23"/>
    <w:rsid w:val="67BF5B67"/>
    <w:rsid w:val="68573873"/>
    <w:rsid w:val="6859271C"/>
    <w:rsid w:val="68814076"/>
    <w:rsid w:val="692F3BD0"/>
    <w:rsid w:val="69C70BD1"/>
    <w:rsid w:val="69D42592"/>
    <w:rsid w:val="6A2C4EE1"/>
    <w:rsid w:val="6BCB306B"/>
    <w:rsid w:val="6CFA011F"/>
    <w:rsid w:val="6E2304B6"/>
    <w:rsid w:val="6EBC37F8"/>
    <w:rsid w:val="6FDD6281"/>
    <w:rsid w:val="72641E17"/>
    <w:rsid w:val="7368655F"/>
    <w:rsid w:val="73EB01E4"/>
    <w:rsid w:val="73EF4744"/>
    <w:rsid w:val="73F95002"/>
    <w:rsid w:val="75887862"/>
    <w:rsid w:val="761510F1"/>
    <w:rsid w:val="762A36B4"/>
    <w:rsid w:val="76921882"/>
    <w:rsid w:val="76D91CED"/>
    <w:rsid w:val="77425D66"/>
    <w:rsid w:val="784D19CD"/>
    <w:rsid w:val="7857471F"/>
    <w:rsid w:val="79D47AF1"/>
    <w:rsid w:val="79DB7B05"/>
    <w:rsid w:val="7A237FD2"/>
    <w:rsid w:val="7ACD7C68"/>
    <w:rsid w:val="7B086626"/>
    <w:rsid w:val="7B4431A8"/>
    <w:rsid w:val="7B5353D8"/>
    <w:rsid w:val="7BBC728B"/>
    <w:rsid w:val="7CB636E9"/>
    <w:rsid w:val="7CC87CDA"/>
    <w:rsid w:val="7DDA151F"/>
    <w:rsid w:val="7E387B6B"/>
    <w:rsid w:val="7F193AF3"/>
    <w:rsid w:val="7F8D6B33"/>
    <w:rsid w:val="7F9D0C41"/>
    <w:rsid w:val="7FDF723A"/>
    <w:rsid w:val="BBCED1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26"/>
    <w:unhideWhenUsed/>
    <w:qFormat/>
    <w:uiPriority w:val="0"/>
    <w:pPr>
      <w:spacing w:beforeAutospacing="1" w:afterAutospacing="1"/>
      <w:jc w:val="left"/>
      <w:outlineLvl w:val="2"/>
    </w:pPr>
    <w:rPr>
      <w:rFonts w:hint="eastAsia" w:ascii="宋体" w:hAnsi="宋体"/>
      <w:b/>
      <w:kern w:val="0"/>
      <w:sz w:val="27"/>
      <w:szCs w:val="27"/>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pPr>
    <w:rPr>
      <w:rFonts w:ascii="仿宋" w:hAnsi="仿宋" w:eastAsia="仿宋"/>
      <w:sz w:val="30"/>
      <w:szCs w:val="30"/>
    </w:rPr>
  </w:style>
  <w:style w:type="paragraph" w:styleId="5">
    <w:name w:val="Body Text"/>
    <w:basedOn w:val="1"/>
    <w:link w:val="28"/>
    <w:qFormat/>
    <w:uiPriority w:val="0"/>
    <w:pPr>
      <w:ind w:left="1580"/>
    </w:pPr>
    <w:rPr>
      <w:rFonts w:ascii="宋体" w:hAnsi="宋体"/>
      <w:sz w:val="30"/>
      <w:szCs w:val="30"/>
    </w:rPr>
  </w:style>
  <w:style w:type="paragraph" w:styleId="6">
    <w:name w:val="Date"/>
    <w:basedOn w:val="1"/>
    <w:next w:val="1"/>
    <w:link w:val="29"/>
    <w:qFormat/>
    <w:uiPriority w:val="0"/>
    <w:pPr>
      <w:ind w:left="100" w:leftChars="2500"/>
    </w:pPr>
  </w:style>
  <w:style w:type="paragraph" w:styleId="7">
    <w:name w:val="footer"/>
    <w:basedOn w:val="1"/>
    <w:link w:val="24"/>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paragraph" w:styleId="9">
    <w:name w:val="Normal (Web)"/>
    <w:basedOn w:val="1"/>
    <w:next w:val="6"/>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800080"/>
      <w:u w:val="single"/>
    </w:rPr>
  </w:style>
  <w:style w:type="character" w:styleId="16">
    <w:name w:val="Emphasis"/>
    <w:basedOn w:val="12"/>
    <w:qFormat/>
    <w:uiPriority w:val="99"/>
    <w:rPr>
      <w:rFonts w:cs="Times New Roman"/>
    </w:rPr>
  </w:style>
  <w:style w:type="character" w:styleId="17">
    <w:name w:val="Hyperlink"/>
    <w:basedOn w:val="12"/>
    <w:qFormat/>
    <w:uiPriority w:val="0"/>
    <w:rPr>
      <w:color w:val="0000FF"/>
      <w:u w:val="single"/>
    </w:rPr>
  </w:style>
  <w:style w:type="paragraph" w:customStyle="1" w:styleId="18">
    <w:name w:val="正文首行缩进 21"/>
    <w:qFormat/>
    <w:uiPriority w:val="0"/>
    <w:pPr>
      <w:widowControl w:val="0"/>
      <w:ind w:firstLine="640" w:firstLineChars="200"/>
      <w:jc w:val="both"/>
    </w:pPr>
    <w:rPr>
      <w:rFonts w:ascii="Times New Roman" w:hAnsi="Times New Roman" w:eastAsia="方正仿宋简体" w:cs="Times New Roman"/>
      <w:kern w:val="2"/>
      <w:sz w:val="32"/>
      <w:szCs w:val="22"/>
      <w:lang w:val="en-US" w:eastAsia="zh-CN" w:bidi="ar-SA"/>
    </w:rPr>
  </w:style>
  <w:style w:type="paragraph" w:customStyle="1" w:styleId="19">
    <w:name w:val="Default"/>
    <w:basedOn w:val="1"/>
    <w:qFormat/>
    <w:uiPriority w:val="0"/>
    <w:pPr>
      <w:autoSpaceDE w:val="0"/>
      <w:autoSpaceDN w:val="0"/>
      <w:jc w:val="left"/>
    </w:pPr>
    <w:rPr>
      <w:rFonts w:ascii="Calibri" w:hAnsi="Calibri" w:cs="宋体"/>
      <w:color w:val="000000"/>
      <w:sz w:val="24"/>
    </w:rPr>
  </w:style>
  <w:style w:type="paragraph" w:customStyle="1" w:styleId="20">
    <w:name w:val="p0"/>
    <w:basedOn w:val="1"/>
    <w:qFormat/>
    <w:uiPriority w:val="0"/>
    <w:pPr>
      <w:widowControl/>
      <w:jc w:val="left"/>
    </w:pPr>
    <w:rPr>
      <w:kern w:val="0"/>
      <w:szCs w:val="21"/>
    </w:rPr>
  </w:style>
  <w:style w:type="paragraph" w:customStyle="1" w:styleId="21">
    <w:name w:val="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22">
    <w:name w:val="default paragraph font Char"/>
    <w:basedOn w:val="1"/>
    <w:qFormat/>
    <w:uiPriority w:val="0"/>
    <w:pPr>
      <w:spacing w:line="240" w:lineRule="atLeast"/>
      <w:ind w:left="420" w:firstLine="420"/>
    </w:pPr>
    <w:rPr>
      <w:rFonts w:eastAsia="仿宋_GB2312"/>
      <w:kern w:val="0"/>
      <w:sz w:val="32"/>
      <w:szCs w:val="21"/>
    </w:rPr>
  </w:style>
  <w:style w:type="paragraph" w:styleId="23">
    <w:name w:val="List Paragraph"/>
    <w:basedOn w:val="1"/>
    <w:qFormat/>
    <w:uiPriority w:val="34"/>
    <w:pPr>
      <w:ind w:firstLine="420" w:firstLineChars="200"/>
    </w:pPr>
    <w:rPr>
      <w:rFonts w:ascii="Calibri" w:hAnsi="Calibri"/>
      <w:szCs w:val="22"/>
    </w:rPr>
  </w:style>
  <w:style w:type="character" w:customStyle="1" w:styleId="24">
    <w:name w:val="页脚 Char"/>
    <w:basedOn w:val="12"/>
    <w:link w:val="7"/>
    <w:qFormat/>
    <w:locked/>
    <w:uiPriority w:val="99"/>
    <w:rPr>
      <w:rFonts w:eastAsia="宋体"/>
      <w:kern w:val="2"/>
      <w:sz w:val="18"/>
    </w:rPr>
  </w:style>
  <w:style w:type="character" w:customStyle="1" w:styleId="25">
    <w:name w:val="NormalCharacter"/>
    <w:qFormat/>
    <w:uiPriority w:val="0"/>
  </w:style>
  <w:style w:type="character" w:customStyle="1" w:styleId="26">
    <w:name w:val="标题 3 Char"/>
    <w:basedOn w:val="12"/>
    <w:link w:val="4"/>
    <w:qFormat/>
    <w:uiPriority w:val="0"/>
    <w:rPr>
      <w:rFonts w:ascii="宋体" w:hAnsi="宋体" w:eastAsia="宋体"/>
      <w:b/>
      <w:sz w:val="27"/>
      <w:szCs w:val="27"/>
    </w:rPr>
  </w:style>
  <w:style w:type="character" w:customStyle="1" w:styleId="27">
    <w:name w:val="标题 1 Char"/>
    <w:basedOn w:val="12"/>
    <w:link w:val="3"/>
    <w:qFormat/>
    <w:uiPriority w:val="0"/>
    <w:rPr>
      <w:rFonts w:eastAsia="宋体"/>
      <w:b/>
      <w:bCs/>
      <w:kern w:val="44"/>
      <w:sz w:val="44"/>
      <w:szCs w:val="44"/>
    </w:rPr>
  </w:style>
  <w:style w:type="character" w:customStyle="1" w:styleId="28">
    <w:name w:val="正文文本 Char"/>
    <w:basedOn w:val="12"/>
    <w:link w:val="5"/>
    <w:qFormat/>
    <w:uiPriority w:val="0"/>
    <w:rPr>
      <w:rFonts w:ascii="宋体" w:hAnsi="宋体" w:eastAsia="宋体"/>
      <w:kern w:val="2"/>
      <w:sz w:val="30"/>
      <w:szCs w:val="30"/>
    </w:rPr>
  </w:style>
  <w:style w:type="character" w:customStyle="1" w:styleId="29">
    <w:name w:val="日期 Char"/>
    <w:basedOn w:val="12"/>
    <w:link w:val="6"/>
    <w:qFormat/>
    <w:uiPriority w:val="0"/>
    <w:rPr>
      <w:rFonts w:eastAsia="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5" textRotate="1"/>
    <customShpInfo spid="_x0000_s2066" textRotate="1"/>
    <customShpInfo spid="_x0000_s2067" textRotate="1"/>
    <customShpInfo spid="_x0000_s2051"/>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6774</Words>
  <Characters>6829</Characters>
  <Lines>22</Lines>
  <Paragraphs>6</Paragraphs>
  <TotalTime>56</TotalTime>
  <ScaleCrop>false</ScaleCrop>
  <LinksUpToDate>false</LinksUpToDate>
  <CharactersWithSpaces>6854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2018-01-27T00:57:00Z</dcterms:created>
  <dc:creator>管理员</dc:creator>
  <cp:lastModifiedBy>user</cp:lastModifiedBy>
  <cp:lastPrinted>2023-07-18T17:57:00Z</cp:lastPrinted>
  <dcterms:modified xsi:type="dcterms:W3CDTF">2023-07-20T11:05:07Z</dcterms:modified>
  <dc:title>遂食药监办〔2013〕  号</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F6D253531C4745499B7F51DC17AB20B6_13</vt:lpwstr>
  </property>
</Properties>
</file>